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573F1" w14:textId="77777777" w:rsidR="00A518D8" w:rsidRPr="004C4996" w:rsidRDefault="00A518D8" w:rsidP="00A518D8">
      <w:pPr>
        <w:spacing w:after="0" w:line="240" w:lineRule="auto"/>
        <w:jc w:val="center"/>
        <w:rPr>
          <w:rFonts w:ascii="Times New Roman" w:eastAsia="Times New Roman" w:hAnsi="Times New Roman" w:cs="Times New Roman"/>
          <w:b/>
          <w:lang w:val="ro-RO" w:eastAsia="ru-RU"/>
        </w:rPr>
      </w:pPr>
      <w:r w:rsidRPr="004C4996">
        <w:rPr>
          <w:rFonts w:ascii="Times New Roman" w:eastAsia="Times New Roman" w:hAnsi="Times New Roman" w:cs="Times New Roman"/>
          <w:b/>
          <w:lang w:val="ro-RO" w:eastAsia="ru-RU"/>
        </w:rPr>
        <w:t>SINTEZA</w:t>
      </w:r>
    </w:p>
    <w:p w14:paraId="51DDCDC0" w14:textId="77777777" w:rsidR="00A518D8" w:rsidRPr="004C4996" w:rsidRDefault="00A518D8" w:rsidP="00A518D8">
      <w:pPr>
        <w:spacing w:after="0" w:line="240" w:lineRule="auto"/>
        <w:jc w:val="center"/>
        <w:rPr>
          <w:rFonts w:ascii="Times New Roman" w:eastAsia="Times New Roman" w:hAnsi="Times New Roman" w:cs="Times New Roman"/>
          <w:b/>
          <w:lang w:val="ro-RO" w:eastAsia="ru-RU"/>
        </w:rPr>
      </w:pPr>
      <w:r w:rsidRPr="004C4996">
        <w:rPr>
          <w:rFonts w:ascii="Times New Roman" w:eastAsia="Times New Roman" w:hAnsi="Times New Roman" w:cs="Times New Roman"/>
          <w:b/>
          <w:lang w:val="ro-RO" w:eastAsia="ru-RU"/>
        </w:rPr>
        <w:t>obiecțiilor și propunerilor/recomandărilor</w:t>
      </w:r>
    </w:p>
    <w:p w14:paraId="452B197D" w14:textId="77777777" w:rsidR="00A518D8" w:rsidRPr="004C4996" w:rsidRDefault="00A518D8" w:rsidP="00A518D8">
      <w:pPr>
        <w:spacing w:after="0" w:line="240" w:lineRule="auto"/>
        <w:jc w:val="center"/>
        <w:rPr>
          <w:rFonts w:ascii="Times New Roman" w:eastAsia="Times New Roman" w:hAnsi="Times New Roman" w:cs="Times New Roman"/>
          <w:b/>
          <w:lang w:val="ro-RO" w:eastAsia="ru-RU"/>
        </w:rPr>
      </w:pPr>
      <w:r w:rsidRPr="004C4996">
        <w:rPr>
          <w:rFonts w:ascii="Times New Roman" w:eastAsia="Times New Roman" w:hAnsi="Times New Roman" w:cs="Times New Roman"/>
          <w:b/>
          <w:lang w:val="ro-RO" w:eastAsia="ru-RU"/>
        </w:rPr>
        <w:t>(structurată pe articole sau puncte din proie</w:t>
      </w:r>
      <w:bookmarkStart w:id="0" w:name="_GoBack"/>
      <w:bookmarkEnd w:id="0"/>
      <w:r w:rsidRPr="004C4996">
        <w:rPr>
          <w:rFonts w:ascii="Times New Roman" w:eastAsia="Times New Roman" w:hAnsi="Times New Roman" w:cs="Times New Roman"/>
          <w:b/>
          <w:lang w:val="ro-RO" w:eastAsia="ru-RU"/>
        </w:rPr>
        <w:t>ct)</w:t>
      </w:r>
    </w:p>
    <w:p w14:paraId="217DA8FA" w14:textId="77777777" w:rsidR="00A518D8" w:rsidRPr="004C4996" w:rsidRDefault="00A518D8" w:rsidP="00A518D8">
      <w:pPr>
        <w:spacing w:after="0" w:line="240" w:lineRule="auto"/>
        <w:jc w:val="center"/>
        <w:rPr>
          <w:rFonts w:ascii="Times New Roman" w:eastAsia="Times New Roman" w:hAnsi="Times New Roman" w:cs="Times New Roman"/>
          <w:b/>
          <w:lang w:val="ro-RO" w:eastAsia="ru-RU"/>
        </w:rPr>
      </w:pPr>
      <w:r w:rsidRPr="004C4996">
        <w:rPr>
          <w:rFonts w:ascii="Times New Roman" w:eastAsia="Times New Roman" w:hAnsi="Times New Roman" w:cs="Times New Roman"/>
          <w:b/>
          <w:lang w:val="ro-RO" w:eastAsia="ru-RU"/>
        </w:rPr>
        <w:t>la proiectul Hotărârii Comitetului executiv al Băncii Naționale a Moldovei</w:t>
      </w:r>
    </w:p>
    <w:p w14:paraId="5B4370FB" w14:textId="643D0D56" w:rsidR="00A518D8" w:rsidRPr="004C4996" w:rsidRDefault="00A518D8" w:rsidP="004146B9">
      <w:pPr>
        <w:spacing w:after="0"/>
        <w:ind w:firstLine="600"/>
        <w:jc w:val="center"/>
        <w:rPr>
          <w:rFonts w:ascii="Times New Roman" w:eastAsia="Times New Roman" w:hAnsi="Times New Roman" w:cs="Times New Roman"/>
          <w:b/>
          <w:kern w:val="36"/>
          <w:lang w:val="ro-RO"/>
        </w:rPr>
      </w:pPr>
      <w:r w:rsidRPr="004C4996">
        <w:rPr>
          <w:rFonts w:ascii="Times New Roman" w:eastAsia="Times New Roman" w:hAnsi="Times New Roman" w:cs="Times New Roman"/>
          <w:b/>
          <w:lang w:val="ro-RO" w:eastAsia="ru-RU"/>
        </w:rPr>
        <w:t>„</w:t>
      </w:r>
      <w:r w:rsidR="003776B8" w:rsidRPr="004C4996">
        <w:rPr>
          <w:rFonts w:ascii="Times New Roman" w:eastAsia="Times New Roman" w:hAnsi="Times New Roman" w:cs="Times New Roman"/>
          <w:b/>
          <w:kern w:val="36"/>
          <w:lang w:val="ro-RO"/>
        </w:rPr>
        <w:t xml:space="preserve">Pentru </w:t>
      </w:r>
      <w:r w:rsidR="00C34D1A" w:rsidRPr="00C34D1A">
        <w:rPr>
          <w:rFonts w:ascii="Times New Roman" w:eastAsia="Times New Roman" w:hAnsi="Times New Roman" w:cs="Times New Roman"/>
          <w:b/>
          <w:kern w:val="36"/>
          <w:lang w:val="ro-RO"/>
        </w:rPr>
        <w:t xml:space="preserve">modificarea </w:t>
      </w:r>
      <w:r w:rsidR="004146B9" w:rsidRPr="004146B9">
        <w:rPr>
          <w:rFonts w:ascii="Times New Roman" w:eastAsia="Times New Roman" w:hAnsi="Times New Roman" w:cs="Times New Roman"/>
          <w:b/>
          <w:kern w:val="36"/>
          <w:lang w:val="ro-RO"/>
        </w:rPr>
        <w:t>Hotărârii Comitetului executiv al Băncii Naționale a Moldovei nr. 29/2018 cu privire la aprobarea Regulamentulu</w:t>
      </w:r>
      <w:r w:rsidR="004146B9">
        <w:rPr>
          <w:rFonts w:ascii="Times New Roman" w:eastAsia="Times New Roman" w:hAnsi="Times New Roman" w:cs="Times New Roman"/>
          <w:b/>
          <w:kern w:val="36"/>
          <w:lang w:val="ro-RO"/>
        </w:rPr>
        <w:t>i</w:t>
      </w:r>
      <w:r w:rsidR="004146B9" w:rsidRPr="004146B9">
        <w:rPr>
          <w:rFonts w:ascii="Times New Roman" w:eastAsia="Times New Roman" w:hAnsi="Times New Roman" w:cs="Times New Roman"/>
          <w:b/>
          <w:bCs/>
          <w:sz w:val="24"/>
          <w:szCs w:val="24"/>
          <w:lang w:val="ro-RO"/>
        </w:rPr>
        <w:t xml:space="preserve"> </w:t>
      </w:r>
      <w:r w:rsidR="004146B9" w:rsidRPr="004146B9">
        <w:rPr>
          <w:rFonts w:ascii="Times New Roman" w:eastAsia="Times New Roman" w:hAnsi="Times New Roman" w:cs="Times New Roman"/>
          <w:b/>
          <w:bCs/>
          <w:kern w:val="36"/>
          <w:lang w:val="ro-RO"/>
        </w:rPr>
        <w:t xml:space="preserve">cu privire la </w:t>
      </w:r>
      <w:r w:rsidR="004146B9" w:rsidRPr="004146B9">
        <w:rPr>
          <w:rFonts w:ascii="Times New Roman" w:eastAsia="Times New Roman" w:hAnsi="Times New Roman" w:cs="Times New Roman"/>
          <w:b/>
          <w:kern w:val="36"/>
          <w:lang w:val="ro-RO"/>
        </w:rPr>
        <w:t>privind condiţiile</w:t>
      </w:r>
      <w:r w:rsidR="00A144B2">
        <w:rPr>
          <w:rFonts w:ascii="Times New Roman" w:eastAsia="Times New Roman" w:hAnsi="Times New Roman" w:cs="Times New Roman"/>
          <w:b/>
          <w:kern w:val="36"/>
          <w:lang w:val="ro-RO"/>
        </w:rPr>
        <w:t xml:space="preserve"> și</w:t>
      </w:r>
      <w:r w:rsidR="004146B9" w:rsidRPr="004146B9">
        <w:rPr>
          <w:rFonts w:ascii="Times New Roman" w:eastAsia="Times New Roman" w:hAnsi="Times New Roman" w:cs="Times New Roman"/>
          <w:b/>
          <w:kern w:val="36"/>
          <w:lang w:val="ro-RO"/>
        </w:rPr>
        <w:t xml:space="preserve"> modul de efectuare a operaţiunilor valutare </w:t>
      </w:r>
      <w:r w:rsidRPr="004C4996">
        <w:rPr>
          <w:rFonts w:ascii="Times New Roman" w:eastAsia="Times New Roman" w:hAnsi="Times New Roman" w:cs="Times New Roman"/>
          <w:b/>
          <w:sz w:val="20"/>
          <w:szCs w:val="20"/>
          <w:lang w:val="ro-RO" w:eastAsia="ru-RU"/>
        </w:rPr>
        <w:t>”</w:t>
      </w:r>
      <w:r w:rsidRPr="004C4996">
        <w:rPr>
          <w:rFonts w:ascii="Times New Roman" w:hAnsi="Times New Roman" w:cs="Times New Roman"/>
          <w:lang w:val="ro-RO"/>
        </w:rPr>
        <w:t xml:space="preserve"> </w:t>
      </w:r>
      <w:r w:rsidRPr="004C4996">
        <w:rPr>
          <w:rFonts w:ascii="Times New Roman" w:eastAsia="Times New Roman" w:hAnsi="Times New Roman" w:cs="Times New Roman"/>
          <w:sz w:val="20"/>
          <w:szCs w:val="20"/>
          <w:lang w:val="ro-RO" w:eastAsia="ru-RU"/>
        </w:rPr>
        <w:t>(în continuare - proiectul HCE)</w:t>
      </w:r>
    </w:p>
    <w:p w14:paraId="45523B67" w14:textId="77777777" w:rsidR="00A518D8" w:rsidRPr="004C4996" w:rsidRDefault="00A518D8" w:rsidP="00A518D8">
      <w:pPr>
        <w:spacing w:after="0" w:line="240" w:lineRule="auto"/>
        <w:jc w:val="center"/>
        <w:rPr>
          <w:rFonts w:ascii="Times New Roman" w:eastAsia="Times New Roman" w:hAnsi="Times New Roman" w:cs="Times New Roman"/>
          <w:b/>
          <w:sz w:val="20"/>
          <w:szCs w:val="20"/>
          <w:lang w:val="ro-RO" w:eastAsia="ru-RU"/>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3"/>
        <w:gridCol w:w="1986"/>
        <w:gridCol w:w="1069"/>
        <w:gridCol w:w="4584"/>
        <w:gridCol w:w="3419"/>
      </w:tblGrid>
      <w:tr w:rsidR="00A518D8" w:rsidRPr="004C4996" w14:paraId="2D8E3CE4" w14:textId="77777777" w:rsidTr="00565AB8">
        <w:tc>
          <w:tcPr>
            <w:tcW w:w="1319" w:type="pct"/>
            <w:shd w:val="clear" w:color="auto" w:fill="auto"/>
          </w:tcPr>
          <w:p w14:paraId="7EBDBFAC" w14:textId="02870FA1" w:rsidR="00A518D8" w:rsidRPr="004C4996" w:rsidRDefault="00A518D8"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r w:rsidRPr="004C4996">
              <w:rPr>
                <w:rFonts w:ascii="Times New Roman" w:eastAsia="Times New Roman" w:hAnsi="Times New Roman" w:cs="Times New Roman"/>
                <w:b/>
                <w:sz w:val="20"/>
                <w:szCs w:val="20"/>
                <w:lang w:val="ro-RO" w:eastAsia="ru-RU"/>
              </w:rPr>
              <w:t xml:space="preserve">Conținutul articolelor/ punctelor din proiectul </w:t>
            </w:r>
            <w:r w:rsidR="008D280E" w:rsidRPr="004C4996">
              <w:rPr>
                <w:rFonts w:ascii="Times New Roman" w:eastAsia="Times New Roman" w:hAnsi="Times New Roman" w:cs="Times New Roman"/>
                <w:b/>
                <w:sz w:val="20"/>
                <w:szCs w:val="20"/>
                <w:lang w:val="ro-RO" w:eastAsia="ru-RU"/>
              </w:rPr>
              <w:t xml:space="preserve">HCE </w:t>
            </w:r>
            <w:r w:rsidRPr="004C4996">
              <w:rPr>
                <w:rFonts w:ascii="Times New Roman" w:eastAsia="Times New Roman" w:hAnsi="Times New Roman" w:cs="Times New Roman"/>
                <w:b/>
                <w:sz w:val="20"/>
                <w:szCs w:val="20"/>
                <w:lang w:val="ro-RO" w:eastAsia="ru-RU"/>
              </w:rPr>
              <w:t xml:space="preserve">prezentat spre avizare şi </w:t>
            </w:r>
            <w:r w:rsidR="008D280E" w:rsidRPr="004C4996">
              <w:rPr>
                <w:rFonts w:ascii="Times New Roman" w:eastAsia="Times New Roman" w:hAnsi="Times New Roman" w:cs="Times New Roman"/>
                <w:b/>
                <w:sz w:val="20"/>
                <w:szCs w:val="20"/>
                <w:lang w:val="ro-RO" w:eastAsia="ru-RU"/>
              </w:rPr>
              <w:t>consultare</w:t>
            </w:r>
          </w:p>
        </w:tc>
        <w:tc>
          <w:tcPr>
            <w:tcW w:w="661" w:type="pct"/>
            <w:shd w:val="clear" w:color="auto" w:fill="auto"/>
          </w:tcPr>
          <w:p w14:paraId="506F20D8" w14:textId="77777777" w:rsidR="00A518D8" w:rsidRPr="004C4996" w:rsidRDefault="00A518D8"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r w:rsidRPr="004C4996">
              <w:rPr>
                <w:rFonts w:ascii="Times New Roman" w:eastAsia="Times New Roman" w:hAnsi="Times New Roman" w:cs="Times New Roman"/>
                <w:b/>
                <w:sz w:val="20"/>
                <w:szCs w:val="20"/>
                <w:lang w:val="ro-RO" w:eastAsia="ru-RU"/>
              </w:rPr>
              <w:t>Participantul la avizare (expertizare)/</w:t>
            </w:r>
          </w:p>
          <w:p w14:paraId="524BE5F2" w14:textId="77777777" w:rsidR="00A518D8" w:rsidRPr="004C4996" w:rsidRDefault="00A518D8"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r w:rsidRPr="004C4996">
              <w:rPr>
                <w:rFonts w:ascii="Times New Roman" w:eastAsia="Times New Roman" w:hAnsi="Times New Roman" w:cs="Times New Roman"/>
                <w:b/>
                <w:sz w:val="20"/>
                <w:szCs w:val="20"/>
                <w:lang w:val="ro-RO" w:eastAsia="ru-RU"/>
              </w:rPr>
              <w:t>consultare publică</w:t>
            </w:r>
          </w:p>
        </w:tc>
        <w:tc>
          <w:tcPr>
            <w:tcW w:w="356" w:type="pct"/>
            <w:shd w:val="clear" w:color="auto" w:fill="auto"/>
          </w:tcPr>
          <w:p w14:paraId="44C148D5" w14:textId="77777777" w:rsidR="00A518D8" w:rsidRPr="004C4996" w:rsidRDefault="00A518D8"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r w:rsidRPr="004C4996">
              <w:rPr>
                <w:rFonts w:ascii="Times New Roman" w:eastAsia="Times New Roman" w:hAnsi="Times New Roman" w:cs="Times New Roman"/>
                <w:b/>
                <w:sz w:val="20"/>
                <w:szCs w:val="20"/>
                <w:lang w:val="ro-RO" w:eastAsia="ru-RU"/>
              </w:rPr>
              <w:t>Nr.</w:t>
            </w:r>
          </w:p>
          <w:p w14:paraId="4613FE00" w14:textId="77777777" w:rsidR="00A518D8" w:rsidRPr="004C4996" w:rsidRDefault="00A518D8" w:rsidP="00B770CB">
            <w:pPr>
              <w:tabs>
                <w:tab w:val="left" w:pos="884"/>
                <w:tab w:val="left" w:pos="1196"/>
              </w:tabs>
              <w:spacing w:after="0" w:line="240" w:lineRule="auto"/>
              <w:ind w:right="102"/>
              <w:jc w:val="both"/>
              <w:rPr>
                <w:rFonts w:ascii="Times New Roman" w:eastAsia="Times New Roman" w:hAnsi="Times New Roman" w:cs="Times New Roman"/>
                <w:b/>
                <w:sz w:val="20"/>
                <w:szCs w:val="20"/>
                <w:lang w:val="ro-RO" w:eastAsia="ru-RU"/>
              </w:rPr>
            </w:pPr>
            <w:r w:rsidRPr="004C4996">
              <w:rPr>
                <w:rFonts w:ascii="Times New Roman" w:eastAsia="Times New Roman" w:hAnsi="Times New Roman" w:cs="Times New Roman"/>
                <w:b/>
                <w:sz w:val="20"/>
                <w:szCs w:val="20"/>
                <w:lang w:val="ro-RO" w:eastAsia="ru-RU"/>
              </w:rPr>
              <w:t>obiecției/ propunerii/</w:t>
            </w:r>
          </w:p>
          <w:p w14:paraId="0804320D" w14:textId="77777777" w:rsidR="00A518D8" w:rsidRPr="004C4996" w:rsidRDefault="00A518D8"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r w:rsidRPr="004C4996">
              <w:rPr>
                <w:rFonts w:ascii="Times New Roman" w:eastAsia="Times New Roman" w:hAnsi="Times New Roman" w:cs="Times New Roman"/>
                <w:b/>
                <w:sz w:val="20"/>
                <w:szCs w:val="20"/>
                <w:lang w:val="ro-RO" w:eastAsia="ru-RU"/>
              </w:rPr>
              <w:t xml:space="preserve">recomandării </w:t>
            </w:r>
          </w:p>
        </w:tc>
        <w:tc>
          <w:tcPr>
            <w:tcW w:w="1526" w:type="pct"/>
            <w:shd w:val="clear" w:color="auto" w:fill="auto"/>
          </w:tcPr>
          <w:p w14:paraId="2400CD5A" w14:textId="77777777" w:rsidR="00A518D8" w:rsidRPr="004C4996" w:rsidRDefault="00A518D8"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r w:rsidRPr="004C4996">
              <w:rPr>
                <w:rFonts w:ascii="Times New Roman" w:eastAsia="Times New Roman" w:hAnsi="Times New Roman" w:cs="Times New Roman"/>
                <w:b/>
                <w:sz w:val="20"/>
                <w:szCs w:val="20"/>
                <w:lang w:val="ro-RO" w:eastAsia="ru-RU"/>
              </w:rPr>
              <w:t>Conținutul obiecției/</w:t>
            </w:r>
          </w:p>
          <w:p w14:paraId="4DD2CB1D" w14:textId="77777777" w:rsidR="00A518D8" w:rsidRPr="004C4996" w:rsidRDefault="00A518D8"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r w:rsidRPr="004C4996">
              <w:rPr>
                <w:rFonts w:ascii="Times New Roman" w:eastAsia="Times New Roman" w:hAnsi="Times New Roman" w:cs="Times New Roman"/>
                <w:b/>
                <w:sz w:val="20"/>
                <w:szCs w:val="20"/>
                <w:lang w:val="ro-RO" w:eastAsia="ru-RU"/>
              </w:rPr>
              <w:t>propunerii/recomandării</w:t>
            </w:r>
          </w:p>
        </w:tc>
        <w:tc>
          <w:tcPr>
            <w:tcW w:w="1138" w:type="pct"/>
            <w:shd w:val="clear" w:color="auto" w:fill="auto"/>
          </w:tcPr>
          <w:p w14:paraId="2AC6F413" w14:textId="77777777" w:rsidR="00A518D8" w:rsidRPr="004C4996" w:rsidRDefault="00A518D8"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r w:rsidRPr="004C4996">
              <w:rPr>
                <w:rFonts w:ascii="Times New Roman" w:eastAsia="Times New Roman" w:hAnsi="Times New Roman" w:cs="Times New Roman"/>
                <w:b/>
                <w:sz w:val="20"/>
                <w:szCs w:val="20"/>
                <w:lang w:val="ro-RO" w:eastAsia="ru-RU"/>
              </w:rPr>
              <w:t>Argumentarea autorului proiectului</w:t>
            </w:r>
          </w:p>
        </w:tc>
      </w:tr>
      <w:tr w:rsidR="00A5719A" w:rsidRPr="000435CB" w14:paraId="6D975D07" w14:textId="77777777" w:rsidTr="00565AB8">
        <w:tc>
          <w:tcPr>
            <w:tcW w:w="5000" w:type="pct"/>
            <w:gridSpan w:val="5"/>
            <w:shd w:val="clear" w:color="auto" w:fill="auto"/>
          </w:tcPr>
          <w:p w14:paraId="0BEBBBFC" w14:textId="6F0261DF" w:rsidR="00A5719A" w:rsidRPr="004C4996" w:rsidRDefault="00CC1D60" w:rsidP="00A91E60">
            <w:pPr>
              <w:tabs>
                <w:tab w:val="left" w:pos="884"/>
                <w:tab w:val="left" w:pos="1196"/>
              </w:tabs>
              <w:spacing w:after="0" w:line="240" w:lineRule="auto"/>
              <w:jc w:val="center"/>
              <w:rPr>
                <w:rFonts w:ascii="Times New Roman" w:eastAsia="Times New Roman" w:hAnsi="Times New Roman" w:cs="Times New Roman"/>
                <w:b/>
                <w:sz w:val="20"/>
                <w:szCs w:val="20"/>
                <w:lang w:val="ro-RO" w:eastAsia="ru-RU"/>
              </w:rPr>
            </w:pPr>
            <w:r w:rsidRPr="00CC1D60">
              <w:rPr>
                <w:rFonts w:ascii="Times New Roman" w:eastAsia="Times New Roman" w:hAnsi="Times New Roman" w:cs="Times New Roman"/>
                <w:b/>
                <w:sz w:val="20"/>
                <w:szCs w:val="20"/>
                <w:lang w:val="ro-RO" w:eastAsia="ru-RU"/>
              </w:rPr>
              <w:t>I. Obiecții și propuneri de ordin general</w:t>
            </w:r>
          </w:p>
        </w:tc>
      </w:tr>
      <w:tr w:rsidR="004844F5" w:rsidRPr="009C7BAD" w14:paraId="11477B5D" w14:textId="77777777" w:rsidTr="00565AB8">
        <w:tc>
          <w:tcPr>
            <w:tcW w:w="1319" w:type="pct"/>
            <w:shd w:val="clear" w:color="auto" w:fill="auto"/>
          </w:tcPr>
          <w:p w14:paraId="7A96C2B2" w14:textId="77777777" w:rsidR="004844F5" w:rsidRPr="004C4996" w:rsidRDefault="004844F5"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p>
        </w:tc>
        <w:tc>
          <w:tcPr>
            <w:tcW w:w="661" w:type="pct"/>
            <w:shd w:val="clear" w:color="auto" w:fill="auto"/>
          </w:tcPr>
          <w:p w14:paraId="04B82512" w14:textId="47EFA626" w:rsidR="004844F5" w:rsidRPr="004C4996" w:rsidRDefault="009C7BAD"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Ministerul Justiției</w:t>
            </w:r>
          </w:p>
        </w:tc>
        <w:tc>
          <w:tcPr>
            <w:tcW w:w="356" w:type="pct"/>
            <w:shd w:val="clear" w:color="auto" w:fill="auto"/>
          </w:tcPr>
          <w:p w14:paraId="2772E780" w14:textId="734811D9" w:rsidR="004844F5" w:rsidRPr="004C4996" w:rsidRDefault="00DB3463"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1</w:t>
            </w:r>
          </w:p>
        </w:tc>
        <w:tc>
          <w:tcPr>
            <w:tcW w:w="1526" w:type="pct"/>
            <w:shd w:val="clear" w:color="auto" w:fill="auto"/>
          </w:tcPr>
          <w:p w14:paraId="7E27E9AB" w14:textId="568F25B0" w:rsidR="004844F5" w:rsidRPr="004844F5" w:rsidRDefault="009C7BAD" w:rsidP="00B770CB">
            <w:pPr>
              <w:tabs>
                <w:tab w:val="left" w:pos="884"/>
                <w:tab w:val="left" w:pos="1196"/>
              </w:tabs>
              <w:spacing w:after="0" w:line="240" w:lineRule="auto"/>
              <w:jc w:val="both"/>
              <w:rPr>
                <w:rFonts w:ascii="Times New Roman" w:eastAsia="Times New Roman" w:hAnsi="Times New Roman" w:cs="Times New Roman"/>
                <w:bCs/>
                <w:sz w:val="20"/>
                <w:szCs w:val="20"/>
                <w:lang w:val="it-IT" w:eastAsia="ru-RU"/>
              </w:rPr>
            </w:pPr>
            <w:r>
              <w:rPr>
                <w:rFonts w:ascii="Times New Roman" w:eastAsia="Times New Roman" w:hAnsi="Times New Roman" w:cs="Times New Roman"/>
                <w:bCs/>
                <w:sz w:val="20"/>
                <w:szCs w:val="20"/>
                <w:lang w:val="it-IT" w:eastAsia="ru-RU"/>
              </w:rPr>
              <w:t>O</w:t>
            </w:r>
            <w:r w:rsidRPr="009C7BAD">
              <w:rPr>
                <w:rFonts w:ascii="Times New Roman" w:eastAsia="Times New Roman" w:hAnsi="Times New Roman" w:cs="Times New Roman"/>
                <w:bCs/>
                <w:sz w:val="20"/>
                <w:szCs w:val="20"/>
                <w:lang w:val="it-IT" w:eastAsia="ru-RU"/>
              </w:rPr>
              <w:t>dată cu prezentarea proiectului spre înregistrare Ministerului Justiției urmează a fi inclusă parafa de înregistrare a acestuia</w:t>
            </w:r>
            <w:r w:rsidR="003755F2">
              <w:rPr>
                <w:rFonts w:ascii="Times New Roman" w:eastAsia="Times New Roman" w:hAnsi="Times New Roman" w:cs="Times New Roman"/>
                <w:bCs/>
                <w:sz w:val="20"/>
                <w:szCs w:val="20"/>
                <w:lang w:val="it-IT" w:eastAsia="ru-RU"/>
              </w:rPr>
              <w:t>.</w:t>
            </w:r>
          </w:p>
        </w:tc>
        <w:tc>
          <w:tcPr>
            <w:tcW w:w="1138" w:type="pct"/>
            <w:shd w:val="clear" w:color="auto" w:fill="auto"/>
          </w:tcPr>
          <w:p w14:paraId="5C3C52F5" w14:textId="1CE9EC16" w:rsidR="004844F5" w:rsidRPr="009A64FD" w:rsidRDefault="0014183B" w:rsidP="00B770CB">
            <w:pPr>
              <w:tabs>
                <w:tab w:val="left" w:pos="884"/>
                <w:tab w:val="left" w:pos="1196"/>
              </w:tabs>
              <w:spacing w:after="0" w:line="240" w:lineRule="auto"/>
              <w:jc w:val="both"/>
              <w:rPr>
                <w:rFonts w:ascii="Times New Roman" w:eastAsia="Times New Roman" w:hAnsi="Times New Roman" w:cs="Times New Roman"/>
                <w:b/>
                <w:sz w:val="20"/>
                <w:szCs w:val="20"/>
                <w:lang w:val="ro-MD" w:eastAsia="ru-RU"/>
              </w:rPr>
            </w:pPr>
            <w:r>
              <w:rPr>
                <w:rFonts w:ascii="Times New Roman" w:eastAsia="Times New Roman" w:hAnsi="Times New Roman" w:cs="Times New Roman"/>
                <w:b/>
                <w:sz w:val="20"/>
                <w:szCs w:val="20"/>
                <w:lang w:val="ro-MD" w:eastAsia="ru-RU"/>
              </w:rPr>
              <w:t>Se acceptă</w:t>
            </w:r>
          </w:p>
        </w:tc>
      </w:tr>
      <w:tr w:rsidR="004844F5" w:rsidRPr="0014183B" w14:paraId="16D39701" w14:textId="77777777" w:rsidTr="00565AB8">
        <w:tc>
          <w:tcPr>
            <w:tcW w:w="1319" w:type="pct"/>
            <w:shd w:val="clear" w:color="auto" w:fill="auto"/>
          </w:tcPr>
          <w:p w14:paraId="5829D258" w14:textId="77777777" w:rsidR="004844F5" w:rsidRPr="004C4996" w:rsidRDefault="004844F5"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p>
        </w:tc>
        <w:tc>
          <w:tcPr>
            <w:tcW w:w="661" w:type="pct"/>
            <w:shd w:val="clear" w:color="auto" w:fill="auto"/>
          </w:tcPr>
          <w:p w14:paraId="5777675D" w14:textId="47F9A7A7" w:rsidR="004844F5" w:rsidRDefault="009C7BAD"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Ministerul Justiției</w:t>
            </w:r>
          </w:p>
        </w:tc>
        <w:tc>
          <w:tcPr>
            <w:tcW w:w="356" w:type="pct"/>
            <w:shd w:val="clear" w:color="auto" w:fill="auto"/>
          </w:tcPr>
          <w:p w14:paraId="1AC53C1F" w14:textId="2EE19B1C" w:rsidR="004844F5" w:rsidRPr="004C4996" w:rsidRDefault="00DB3463"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2</w:t>
            </w:r>
          </w:p>
        </w:tc>
        <w:tc>
          <w:tcPr>
            <w:tcW w:w="1526" w:type="pct"/>
            <w:shd w:val="clear" w:color="auto" w:fill="auto"/>
          </w:tcPr>
          <w:p w14:paraId="1BA022DE" w14:textId="6D19AFE9" w:rsidR="004844F5" w:rsidRPr="004844F5" w:rsidRDefault="009C7BAD" w:rsidP="00B770CB">
            <w:pPr>
              <w:tabs>
                <w:tab w:val="left" w:pos="884"/>
                <w:tab w:val="left" w:pos="1196"/>
              </w:tabs>
              <w:spacing w:after="0" w:line="240" w:lineRule="auto"/>
              <w:jc w:val="both"/>
              <w:rPr>
                <w:rFonts w:ascii="Times New Roman" w:eastAsia="Times New Roman" w:hAnsi="Times New Roman" w:cs="Times New Roman"/>
                <w:bCs/>
                <w:sz w:val="20"/>
                <w:szCs w:val="20"/>
                <w:lang w:val="it-IT" w:eastAsia="ru-RU"/>
              </w:rPr>
            </w:pPr>
            <w:r w:rsidRPr="009C7BAD">
              <w:rPr>
                <w:rFonts w:ascii="Times New Roman" w:eastAsia="Times New Roman" w:hAnsi="Times New Roman" w:cs="Times New Roman"/>
                <w:bCs/>
                <w:sz w:val="20"/>
                <w:szCs w:val="20"/>
                <w:lang w:val="it-IT" w:eastAsia="ru-RU"/>
              </w:rPr>
              <w:t>Având în vedere că prin proiect se propune modificarea și a clauzei de adoptare a Hotărârii Comitetului executiv al Băncii Naționale a Moldovei nr. 29/2018, se va ajusta corespunzător atât denumirea proiectului, cât și dispoziția de modificare de la pct. I, prin indicarea faptului că se modifică această hotărâre, dar nu regulamentul.</w:t>
            </w:r>
          </w:p>
        </w:tc>
        <w:tc>
          <w:tcPr>
            <w:tcW w:w="1138" w:type="pct"/>
            <w:shd w:val="clear" w:color="auto" w:fill="auto"/>
          </w:tcPr>
          <w:p w14:paraId="69665B90" w14:textId="4E12D535" w:rsidR="004844F5" w:rsidRPr="00C34D1A" w:rsidRDefault="0014183B" w:rsidP="00B770CB">
            <w:pPr>
              <w:tabs>
                <w:tab w:val="left" w:pos="884"/>
                <w:tab w:val="left" w:pos="1196"/>
              </w:tabs>
              <w:spacing w:after="0" w:line="240" w:lineRule="auto"/>
              <w:jc w:val="both"/>
              <w:rPr>
                <w:rFonts w:ascii="Times New Roman" w:eastAsia="Times New Roman" w:hAnsi="Times New Roman" w:cs="Times New Roman"/>
                <w:b/>
                <w:sz w:val="20"/>
                <w:szCs w:val="20"/>
                <w:lang w:val="ro-MD" w:eastAsia="ru-RU"/>
              </w:rPr>
            </w:pPr>
            <w:r>
              <w:rPr>
                <w:rFonts w:ascii="Times New Roman" w:eastAsia="Times New Roman" w:hAnsi="Times New Roman" w:cs="Times New Roman"/>
                <w:b/>
                <w:sz w:val="20"/>
                <w:szCs w:val="20"/>
                <w:lang w:val="ro-MD" w:eastAsia="ru-RU"/>
              </w:rPr>
              <w:t>Se acceptă</w:t>
            </w:r>
          </w:p>
        </w:tc>
      </w:tr>
      <w:tr w:rsidR="009C7BAD" w:rsidRPr="0014183B" w14:paraId="72DEB696" w14:textId="77777777" w:rsidTr="00565AB8">
        <w:tc>
          <w:tcPr>
            <w:tcW w:w="1319" w:type="pct"/>
            <w:shd w:val="clear" w:color="auto" w:fill="auto"/>
          </w:tcPr>
          <w:p w14:paraId="363D6159" w14:textId="77777777" w:rsidR="009C7BAD" w:rsidRPr="004C4996" w:rsidRDefault="009C7BAD"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p>
        </w:tc>
        <w:tc>
          <w:tcPr>
            <w:tcW w:w="661" w:type="pct"/>
            <w:shd w:val="clear" w:color="auto" w:fill="auto"/>
          </w:tcPr>
          <w:p w14:paraId="6BCC7111" w14:textId="39615BD5" w:rsidR="009C7BAD" w:rsidRDefault="009C7BAD"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Ministerul Justiției</w:t>
            </w:r>
          </w:p>
        </w:tc>
        <w:tc>
          <w:tcPr>
            <w:tcW w:w="356" w:type="pct"/>
            <w:shd w:val="clear" w:color="auto" w:fill="auto"/>
          </w:tcPr>
          <w:p w14:paraId="1D1A7BEF" w14:textId="20083C98" w:rsidR="009C7BAD" w:rsidRPr="004C4996" w:rsidRDefault="00DB3463"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3</w:t>
            </w:r>
          </w:p>
        </w:tc>
        <w:tc>
          <w:tcPr>
            <w:tcW w:w="1526" w:type="pct"/>
            <w:shd w:val="clear" w:color="auto" w:fill="auto"/>
          </w:tcPr>
          <w:p w14:paraId="1C1142E3" w14:textId="183D7BD6" w:rsidR="009C7BAD" w:rsidRPr="009C7BAD" w:rsidRDefault="009C7BAD">
            <w:pPr>
              <w:tabs>
                <w:tab w:val="left" w:pos="884"/>
                <w:tab w:val="left" w:pos="1196"/>
              </w:tabs>
              <w:spacing w:after="0" w:line="240" w:lineRule="auto"/>
              <w:jc w:val="both"/>
              <w:rPr>
                <w:rFonts w:ascii="Times New Roman" w:eastAsia="Times New Roman" w:hAnsi="Times New Roman" w:cs="Times New Roman"/>
                <w:bCs/>
                <w:sz w:val="20"/>
                <w:szCs w:val="20"/>
                <w:lang w:val="ro-MD" w:eastAsia="ru-RU"/>
              </w:rPr>
            </w:pPr>
            <w:r>
              <w:rPr>
                <w:rFonts w:ascii="Times New Roman" w:eastAsia="Times New Roman" w:hAnsi="Times New Roman" w:cs="Times New Roman"/>
                <w:bCs/>
                <w:sz w:val="20"/>
                <w:szCs w:val="20"/>
                <w:lang w:val="ro-MD" w:eastAsia="ru-RU"/>
              </w:rPr>
              <w:t>S</w:t>
            </w:r>
            <w:r w:rsidRPr="009C7BAD">
              <w:rPr>
                <w:rFonts w:ascii="Times New Roman" w:eastAsia="Times New Roman" w:hAnsi="Times New Roman" w:cs="Times New Roman"/>
                <w:bCs/>
                <w:sz w:val="20"/>
                <w:szCs w:val="20"/>
                <w:lang w:val="ro-MD" w:eastAsia="ru-RU"/>
              </w:rPr>
              <w:t xml:space="preserve">ubliniem asupra importanței respectării art. 16 alin. (2) și art. 44 alin. (1) din </w:t>
            </w:r>
            <w:r w:rsidRPr="009C7BAD">
              <w:rPr>
                <w:rFonts w:ascii="Times New Roman" w:eastAsia="Times New Roman" w:hAnsi="Times New Roman" w:cs="Times New Roman"/>
                <w:bCs/>
                <w:i/>
                <w:iCs/>
                <w:sz w:val="20"/>
                <w:szCs w:val="20"/>
                <w:lang w:val="ro-MD" w:eastAsia="ru-RU"/>
              </w:rPr>
              <w:t>Legea nr. 100/2017 cu privire la actele normative</w:t>
            </w:r>
            <w:r w:rsidRPr="009C7BAD">
              <w:rPr>
                <w:rFonts w:ascii="Times New Roman" w:eastAsia="Times New Roman" w:hAnsi="Times New Roman" w:cs="Times New Roman"/>
                <w:bCs/>
                <w:sz w:val="20"/>
                <w:szCs w:val="20"/>
                <w:lang w:val="ro-MD" w:eastAsia="ru-RU"/>
              </w:rPr>
              <w:t>, astfel se va indica doar temeiul juridic concret pentru emiterea actului normativ, referințe la alte acte normative și prevederi care nu constituie temei juridic de adoptare a actului normativ elaborat nu se vor indica în clauza de adoptare. În acest context, este oportună revizuirea temeiului juridic al proiectului, având în vedere că dispoziții care se referă la competența generală a Băncii Naționale a Moldovei de a adopta acte normative în domeniul său de competență nu constituie temei juridic de emitere.</w:t>
            </w:r>
          </w:p>
        </w:tc>
        <w:tc>
          <w:tcPr>
            <w:tcW w:w="1138" w:type="pct"/>
            <w:shd w:val="clear" w:color="auto" w:fill="auto"/>
          </w:tcPr>
          <w:p w14:paraId="5D3FC7BE" w14:textId="6902F9EC" w:rsidR="009C7BAD" w:rsidRPr="00C34D1A" w:rsidRDefault="00D15F90" w:rsidP="00B770CB">
            <w:pPr>
              <w:tabs>
                <w:tab w:val="left" w:pos="884"/>
                <w:tab w:val="left" w:pos="1196"/>
              </w:tabs>
              <w:spacing w:after="0" w:line="240" w:lineRule="auto"/>
              <w:jc w:val="both"/>
              <w:rPr>
                <w:rFonts w:ascii="Times New Roman" w:eastAsia="Times New Roman" w:hAnsi="Times New Roman" w:cs="Times New Roman"/>
                <w:b/>
                <w:sz w:val="20"/>
                <w:szCs w:val="20"/>
                <w:lang w:val="ro-MD" w:eastAsia="ru-RU"/>
              </w:rPr>
            </w:pPr>
            <w:r>
              <w:rPr>
                <w:rFonts w:ascii="Times New Roman" w:eastAsia="Times New Roman" w:hAnsi="Times New Roman" w:cs="Times New Roman"/>
                <w:b/>
                <w:sz w:val="20"/>
                <w:szCs w:val="20"/>
                <w:lang w:val="ro-MD" w:eastAsia="ru-RU"/>
              </w:rPr>
              <w:t>Se acceptă</w:t>
            </w:r>
          </w:p>
        </w:tc>
      </w:tr>
      <w:tr w:rsidR="009C7BAD" w:rsidRPr="0014183B" w14:paraId="0632D5E3" w14:textId="77777777" w:rsidTr="00565AB8">
        <w:tc>
          <w:tcPr>
            <w:tcW w:w="1319" w:type="pct"/>
            <w:shd w:val="clear" w:color="auto" w:fill="auto"/>
          </w:tcPr>
          <w:p w14:paraId="71E252BA" w14:textId="77777777" w:rsidR="009C7BAD" w:rsidRPr="004C4996" w:rsidRDefault="009C7BAD"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p>
        </w:tc>
        <w:tc>
          <w:tcPr>
            <w:tcW w:w="661" w:type="pct"/>
            <w:shd w:val="clear" w:color="auto" w:fill="auto"/>
          </w:tcPr>
          <w:p w14:paraId="128CAE1F" w14:textId="74E0DFD8" w:rsidR="009C7BAD" w:rsidRDefault="009C7BAD"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Ministerul Justiției</w:t>
            </w:r>
          </w:p>
        </w:tc>
        <w:tc>
          <w:tcPr>
            <w:tcW w:w="356" w:type="pct"/>
            <w:shd w:val="clear" w:color="auto" w:fill="auto"/>
          </w:tcPr>
          <w:p w14:paraId="3A00A990" w14:textId="77094844" w:rsidR="009C7BAD" w:rsidRPr="004C4996" w:rsidRDefault="00DB3463"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4</w:t>
            </w:r>
          </w:p>
        </w:tc>
        <w:tc>
          <w:tcPr>
            <w:tcW w:w="1526" w:type="pct"/>
            <w:shd w:val="clear" w:color="auto" w:fill="auto"/>
          </w:tcPr>
          <w:p w14:paraId="4675CC09" w14:textId="1FD7789E" w:rsidR="009C7BAD" w:rsidRDefault="009C7BAD" w:rsidP="00B770CB">
            <w:pPr>
              <w:tabs>
                <w:tab w:val="left" w:pos="884"/>
                <w:tab w:val="left" w:pos="1196"/>
              </w:tabs>
              <w:spacing w:after="0" w:line="240" w:lineRule="auto"/>
              <w:jc w:val="both"/>
              <w:rPr>
                <w:rFonts w:ascii="Times New Roman" w:eastAsia="Times New Roman" w:hAnsi="Times New Roman" w:cs="Times New Roman"/>
                <w:bCs/>
                <w:sz w:val="20"/>
                <w:szCs w:val="20"/>
                <w:lang w:val="ro-MD" w:eastAsia="ru-RU"/>
              </w:rPr>
            </w:pPr>
            <w:r>
              <w:rPr>
                <w:rFonts w:ascii="Times New Roman" w:eastAsia="Times New Roman" w:hAnsi="Times New Roman" w:cs="Times New Roman"/>
                <w:bCs/>
                <w:sz w:val="20"/>
                <w:szCs w:val="20"/>
                <w:lang w:val="ro-MD" w:eastAsia="ru-RU"/>
              </w:rPr>
              <w:t>S</w:t>
            </w:r>
            <w:r w:rsidRPr="009C7BAD">
              <w:rPr>
                <w:rFonts w:ascii="Times New Roman" w:eastAsia="Times New Roman" w:hAnsi="Times New Roman" w:cs="Times New Roman"/>
                <w:bCs/>
                <w:sz w:val="20"/>
                <w:szCs w:val="20"/>
                <w:lang w:val="ro-MD" w:eastAsia="ru-RU"/>
              </w:rPr>
              <w:t xml:space="preserve">e va revizui numerotarea elementelor structurale din proiect, ținându-se cont de prevederile art. 52 alin. (1), (2) și (3) din </w:t>
            </w:r>
            <w:r w:rsidRPr="009C7BAD">
              <w:rPr>
                <w:rFonts w:ascii="Times New Roman" w:eastAsia="Times New Roman" w:hAnsi="Times New Roman" w:cs="Times New Roman"/>
                <w:bCs/>
                <w:i/>
                <w:iCs/>
                <w:sz w:val="20"/>
                <w:szCs w:val="20"/>
                <w:lang w:val="ro-MD" w:eastAsia="ru-RU"/>
              </w:rPr>
              <w:t xml:space="preserve">Legea nr. 100/2017, </w:t>
            </w:r>
            <w:r w:rsidRPr="009C7BAD">
              <w:rPr>
                <w:rFonts w:ascii="Times New Roman" w:eastAsia="Times New Roman" w:hAnsi="Times New Roman" w:cs="Times New Roman"/>
                <w:bCs/>
                <w:sz w:val="20"/>
                <w:szCs w:val="20"/>
                <w:lang w:val="ro-MD" w:eastAsia="ru-RU"/>
              </w:rPr>
              <w:t xml:space="preserve">potrivit cărora „Punctul este elementul structural de bază al actelor </w:t>
            </w:r>
            <w:r w:rsidRPr="009C7BAD">
              <w:rPr>
                <w:rFonts w:ascii="Times New Roman" w:eastAsia="Times New Roman" w:hAnsi="Times New Roman" w:cs="Times New Roman"/>
                <w:bCs/>
                <w:sz w:val="20"/>
                <w:szCs w:val="20"/>
                <w:lang w:val="ro-MD" w:eastAsia="ru-RU"/>
              </w:rPr>
              <w:lastRenderedPageBreak/>
              <w:t xml:space="preserve">normative ale autorităților publice autonome. Punctele se însemnează consecutiv cu numere ordinare, </w:t>
            </w:r>
            <w:r w:rsidRPr="009C7BAD">
              <w:rPr>
                <w:rFonts w:ascii="Times New Roman" w:eastAsia="Times New Roman" w:hAnsi="Times New Roman" w:cs="Times New Roman"/>
                <w:b/>
                <w:bCs/>
                <w:sz w:val="20"/>
                <w:szCs w:val="20"/>
                <w:lang w:val="ro-MD" w:eastAsia="ru-RU"/>
              </w:rPr>
              <w:t>exprimate prin cifre arabe</w:t>
            </w:r>
            <w:r w:rsidRPr="009C7BAD">
              <w:rPr>
                <w:rFonts w:ascii="Times New Roman" w:eastAsia="Times New Roman" w:hAnsi="Times New Roman" w:cs="Times New Roman"/>
                <w:bCs/>
                <w:sz w:val="20"/>
                <w:szCs w:val="20"/>
                <w:lang w:val="ro-MD" w:eastAsia="ru-RU"/>
              </w:rPr>
              <w:t xml:space="preserve">, urmate de punct, începând cu primul și terminând cu ultimul, de la începutul și până la sfârșitul actului normativ. </w:t>
            </w:r>
            <w:r w:rsidRPr="009C7BAD">
              <w:rPr>
                <w:rFonts w:ascii="Times New Roman" w:eastAsia="Times New Roman" w:hAnsi="Times New Roman" w:cs="Times New Roman"/>
                <w:b/>
                <w:bCs/>
                <w:sz w:val="20"/>
                <w:szCs w:val="20"/>
                <w:lang w:val="ro-MD" w:eastAsia="ru-RU"/>
              </w:rPr>
              <w:t>Pentru</w:t>
            </w:r>
            <w:r w:rsidRPr="009C7BAD">
              <w:rPr>
                <w:rFonts w:ascii="Times New Roman" w:hAnsi="Times New Roman" w:cs="Times New Roman"/>
                <w:b/>
                <w:bCs/>
                <w:color w:val="000000"/>
                <w:sz w:val="28"/>
                <w:szCs w:val="28"/>
                <w:lang w:val="ro-MD"/>
              </w:rPr>
              <w:t xml:space="preserve"> </w:t>
            </w:r>
            <w:r w:rsidRPr="009C7BAD">
              <w:rPr>
                <w:rFonts w:ascii="Times New Roman" w:eastAsia="Times New Roman" w:hAnsi="Times New Roman" w:cs="Times New Roman"/>
                <w:b/>
                <w:bCs/>
                <w:sz w:val="20"/>
                <w:szCs w:val="20"/>
                <w:lang w:val="ro-MD" w:eastAsia="ru-RU"/>
              </w:rPr>
              <w:t>interpretare corectă și aplicare comodă, punctele pot fi divizate în subpuncte sau alineate. Subpunctele sunt însemnate cu numere ordinare, exprimate prin cifre arabe, urmate de o paranteză, și se evidențiază printr-o ușoară retragere spre dreapta de la alinierea textului pe verticală.</w:t>
            </w:r>
          </w:p>
        </w:tc>
        <w:tc>
          <w:tcPr>
            <w:tcW w:w="1138" w:type="pct"/>
            <w:shd w:val="clear" w:color="auto" w:fill="auto"/>
          </w:tcPr>
          <w:p w14:paraId="30213D21" w14:textId="0EF55721" w:rsidR="009C7BAD" w:rsidRPr="00C34D1A" w:rsidRDefault="0014183B" w:rsidP="00B770CB">
            <w:pPr>
              <w:tabs>
                <w:tab w:val="left" w:pos="884"/>
                <w:tab w:val="left" w:pos="1196"/>
              </w:tabs>
              <w:spacing w:after="0" w:line="240" w:lineRule="auto"/>
              <w:jc w:val="both"/>
              <w:rPr>
                <w:rFonts w:ascii="Times New Roman" w:eastAsia="Times New Roman" w:hAnsi="Times New Roman" w:cs="Times New Roman"/>
                <w:b/>
                <w:sz w:val="20"/>
                <w:szCs w:val="20"/>
                <w:lang w:val="ro-MD" w:eastAsia="ru-RU"/>
              </w:rPr>
            </w:pPr>
            <w:r>
              <w:rPr>
                <w:rFonts w:ascii="Times New Roman" w:eastAsia="Times New Roman" w:hAnsi="Times New Roman" w:cs="Times New Roman"/>
                <w:b/>
                <w:sz w:val="20"/>
                <w:szCs w:val="20"/>
                <w:lang w:val="ro-MD" w:eastAsia="ru-RU"/>
              </w:rPr>
              <w:lastRenderedPageBreak/>
              <w:t>Se acceptă</w:t>
            </w:r>
          </w:p>
        </w:tc>
      </w:tr>
      <w:tr w:rsidR="009C7BAD" w:rsidRPr="0014183B" w14:paraId="0869AF1A" w14:textId="77777777" w:rsidTr="00565AB8">
        <w:tc>
          <w:tcPr>
            <w:tcW w:w="1319" w:type="pct"/>
            <w:shd w:val="clear" w:color="auto" w:fill="auto"/>
          </w:tcPr>
          <w:p w14:paraId="2C0BB4B9" w14:textId="77777777" w:rsidR="009C7BAD" w:rsidRPr="004C4996" w:rsidRDefault="009C7BAD"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p>
        </w:tc>
        <w:tc>
          <w:tcPr>
            <w:tcW w:w="661" w:type="pct"/>
            <w:shd w:val="clear" w:color="auto" w:fill="auto"/>
          </w:tcPr>
          <w:p w14:paraId="5820FA6B" w14:textId="64A28AEE" w:rsidR="009C7BAD" w:rsidRDefault="009C7BAD"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Ministerul Justiției</w:t>
            </w:r>
          </w:p>
        </w:tc>
        <w:tc>
          <w:tcPr>
            <w:tcW w:w="356" w:type="pct"/>
            <w:shd w:val="clear" w:color="auto" w:fill="auto"/>
          </w:tcPr>
          <w:p w14:paraId="0433B337" w14:textId="3A26499F" w:rsidR="009C7BAD" w:rsidRPr="004C4996" w:rsidRDefault="00DB3463"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5</w:t>
            </w:r>
          </w:p>
        </w:tc>
        <w:tc>
          <w:tcPr>
            <w:tcW w:w="1526" w:type="pct"/>
            <w:shd w:val="clear" w:color="auto" w:fill="auto"/>
          </w:tcPr>
          <w:p w14:paraId="66F43B36" w14:textId="77777777" w:rsidR="009C7BAD" w:rsidRDefault="009C7BAD" w:rsidP="00B770CB">
            <w:pPr>
              <w:tabs>
                <w:tab w:val="left" w:pos="884"/>
                <w:tab w:val="left" w:pos="1196"/>
              </w:tabs>
              <w:spacing w:after="0" w:line="240" w:lineRule="auto"/>
              <w:jc w:val="both"/>
              <w:rPr>
                <w:rFonts w:ascii="Times New Roman" w:eastAsia="Times New Roman" w:hAnsi="Times New Roman" w:cs="Times New Roman"/>
                <w:bCs/>
                <w:sz w:val="20"/>
                <w:szCs w:val="20"/>
                <w:lang w:val="ro-MD" w:eastAsia="ru-RU"/>
              </w:rPr>
            </w:pPr>
            <w:r w:rsidRPr="009C7BAD">
              <w:rPr>
                <w:rFonts w:ascii="Times New Roman" w:eastAsia="Times New Roman" w:hAnsi="Times New Roman" w:cs="Times New Roman"/>
                <w:bCs/>
                <w:sz w:val="20"/>
                <w:szCs w:val="20"/>
                <w:lang w:val="ro-MD" w:eastAsia="ru-RU"/>
              </w:rPr>
              <w:t>Pe parcursul proiectului, se va ține cont că, la schimbarea unor cuvinte din conținutul textului unui act normativ, pentru exprimarea corectă, se menționează despre substituirea „cuvintelor” respective, iar la schimbarea unor cifre/semne și cuvinte din conținutul textului unui act normativ, pentru exprimarea corectă, se menționează despre substituirea „textului” respectiv.</w:t>
            </w:r>
          </w:p>
          <w:p w14:paraId="4E6EFE60" w14:textId="7B50D47A" w:rsidR="00FD056F" w:rsidRDefault="00FD056F" w:rsidP="00B770CB">
            <w:pPr>
              <w:tabs>
                <w:tab w:val="left" w:pos="884"/>
                <w:tab w:val="left" w:pos="1196"/>
              </w:tabs>
              <w:spacing w:after="0" w:line="240" w:lineRule="auto"/>
              <w:jc w:val="both"/>
              <w:rPr>
                <w:rFonts w:ascii="Times New Roman" w:eastAsia="Times New Roman" w:hAnsi="Times New Roman" w:cs="Times New Roman"/>
                <w:bCs/>
                <w:sz w:val="20"/>
                <w:szCs w:val="20"/>
                <w:lang w:val="ro-MD" w:eastAsia="ru-RU"/>
              </w:rPr>
            </w:pPr>
          </w:p>
        </w:tc>
        <w:tc>
          <w:tcPr>
            <w:tcW w:w="1138" w:type="pct"/>
            <w:shd w:val="clear" w:color="auto" w:fill="auto"/>
          </w:tcPr>
          <w:p w14:paraId="132187F6" w14:textId="04EF9141" w:rsidR="009C7BAD" w:rsidRPr="00C34D1A" w:rsidRDefault="006D7C08" w:rsidP="00B770CB">
            <w:pPr>
              <w:tabs>
                <w:tab w:val="left" w:pos="884"/>
                <w:tab w:val="left" w:pos="1196"/>
              </w:tabs>
              <w:spacing w:after="0" w:line="240" w:lineRule="auto"/>
              <w:jc w:val="both"/>
              <w:rPr>
                <w:rFonts w:ascii="Times New Roman" w:eastAsia="Times New Roman" w:hAnsi="Times New Roman" w:cs="Times New Roman"/>
                <w:b/>
                <w:sz w:val="20"/>
                <w:szCs w:val="20"/>
                <w:lang w:val="ro-MD" w:eastAsia="ru-RU"/>
              </w:rPr>
            </w:pPr>
            <w:r>
              <w:rPr>
                <w:rFonts w:ascii="Times New Roman" w:eastAsia="Times New Roman" w:hAnsi="Times New Roman" w:cs="Times New Roman"/>
                <w:b/>
                <w:sz w:val="20"/>
                <w:szCs w:val="20"/>
                <w:lang w:val="ro-MD" w:eastAsia="ru-RU"/>
              </w:rPr>
              <w:t>Se acceptă</w:t>
            </w:r>
          </w:p>
        </w:tc>
      </w:tr>
      <w:tr w:rsidR="009C7BAD" w:rsidRPr="000435CB" w14:paraId="4BF19189" w14:textId="77777777" w:rsidTr="00565AB8">
        <w:tc>
          <w:tcPr>
            <w:tcW w:w="1319" w:type="pct"/>
            <w:shd w:val="clear" w:color="auto" w:fill="auto"/>
          </w:tcPr>
          <w:p w14:paraId="568F691B" w14:textId="77777777" w:rsidR="009C7BAD" w:rsidRPr="004C4996" w:rsidRDefault="009C7BAD"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p>
        </w:tc>
        <w:tc>
          <w:tcPr>
            <w:tcW w:w="661" w:type="pct"/>
            <w:shd w:val="clear" w:color="auto" w:fill="auto"/>
          </w:tcPr>
          <w:p w14:paraId="56C00BB2" w14:textId="456E5C5A" w:rsidR="009C7BAD" w:rsidRDefault="009C7BAD"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Ministerul Justiției</w:t>
            </w:r>
          </w:p>
        </w:tc>
        <w:tc>
          <w:tcPr>
            <w:tcW w:w="356" w:type="pct"/>
            <w:shd w:val="clear" w:color="auto" w:fill="auto"/>
          </w:tcPr>
          <w:p w14:paraId="208D922B" w14:textId="69E32869" w:rsidR="009C7BAD" w:rsidRPr="004C4996" w:rsidRDefault="00DB3463"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6</w:t>
            </w:r>
          </w:p>
        </w:tc>
        <w:tc>
          <w:tcPr>
            <w:tcW w:w="1526" w:type="pct"/>
            <w:shd w:val="clear" w:color="auto" w:fill="auto"/>
          </w:tcPr>
          <w:p w14:paraId="0495A112" w14:textId="77777777" w:rsidR="009C7BAD" w:rsidRDefault="009C7BAD" w:rsidP="00B770CB">
            <w:pPr>
              <w:tabs>
                <w:tab w:val="left" w:pos="884"/>
                <w:tab w:val="left" w:pos="1196"/>
              </w:tabs>
              <w:spacing w:after="0" w:line="240" w:lineRule="auto"/>
              <w:jc w:val="both"/>
              <w:rPr>
                <w:rFonts w:ascii="Times New Roman" w:eastAsia="Times New Roman" w:hAnsi="Times New Roman" w:cs="Times New Roman"/>
                <w:bCs/>
                <w:sz w:val="20"/>
                <w:szCs w:val="20"/>
                <w:lang w:val="ro-MD" w:eastAsia="ru-RU"/>
              </w:rPr>
            </w:pPr>
            <w:r w:rsidRPr="009C7BAD">
              <w:rPr>
                <w:rFonts w:ascii="Times New Roman" w:eastAsia="Times New Roman" w:hAnsi="Times New Roman" w:cs="Times New Roman"/>
                <w:bCs/>
                <w:sz w:val="20"/>
                <w:szCs w:val="20"/>
                <w:lang w:val="ro-MD" w:eastAsia="ru-RU"/>
              </w:rPr>
              <w:t>La trimiterile la elemente structurale se va ține cont că, cratima se utilizează pentru a evit</w:t>
            </w:r>
            <w:r w:rsidR="006D7C08">
              <w:rPr>
                <w:rFonts w:ascii="Times New Roman" w:eastAsia="Times New Roman" w:hAnsi="Times New Roman" w:cs="Times New Roman"/>
                <w:bCs/>
                <w:sz w:val="20"/>
                <w:szCs w:val="20"/>
                <w:lang w:val="ro-MD" w:eastAsia="ru-RU"/>
              </w:rPr>
              <w:t>a</w:t>
            </w:r>
            <w:r w:rsidRPr="009C7BAD">
              <w:rPr>
                <w:rFonts w:ascii="Times New Roman" w:eastAsia="Times New Roman" w:hAnsi="Times New Roman" w:cs="Times New Roman"/>
                <w:bCs/>
                <w:sz w:val="20"/>
                <w:szCs w:val="20"/>
                <w:lang w:val="ro-MD" w:eastAsia="ru-RU"/>
              </w:rPr>
              <w:t xml:space="preserve"> enumerarea a mai mult de trei elemente structurale consecutive.</w:t>
            </w:r>
          </w:p>
          <w:p w14:paraId="722D41AD" w14:textId="4EF0BD29" w:rsidR="00FD056F" w:rsidRPr="009C7BAD" w:rsidRDefault="00FD056F" w:rsidP="00B770CB">
            <w:pPr>
              <w:tabs>
                <w:tab w:val="left" w:pos="884"/>
                <w:tab w:val="left" w:pos="1196"/>
              </w:tabs>
              <w:spacing w:after="0" w:line="240" w:lineRule="auto"/>
              <w:jc w:val="both"/>
              <w:rPr>
                <w:rFonts w:ascii="Times New Roman" w:eastAsia="Times New Roman" w:hAnsi="Times New Roman" w:cs="Times New Roman"/>
                <w:bCs/>
                <w:sz w:val="20"/>
                <w:szCs w:val="20"/>
                <w:lang w:val="ro-MD" w:eastAsia="ru-RU"/>
              </w:rPr>
            </w:pPr>
          </w:p>
        </w:tc>
        <w:tc>
          <w:tcPr>
            <w:tcW w:w="1138" w:type="pct"/>
            <w:shd w:val="clear" w:color="auto" w:fill="auto"/>
          </w:tcPr>
          <w:p w14:paraId="3BD82E8D" w14:textId="323AB50B" w:rsidR="006D7C08" w:rsidRDefault="00E446A7" w:rsidP="00B770CB">
            <w:pPr>
              <w:tabs>
                <w:tab w:val="left" w:pos="884"/>
                <w:tab w:val="left" w:pos="1196"/>
              </w:tabs>
              <w:spacing w:after="0" w:line="240" w:lineRule="auto"/>
              <w:jc w:val="both"/>
              <w:rPr>
                <w:rFonts w:ascii="Times New Roman" w:eastAsia="Times New Roman" w:hAnsi="Times New Roman" w:cs="Times New Roman"/>
                <w:b/>
                <w:sz w:val="20"/>
                <w:szCs w:val="20"/>
                <w:lang w:val="ro-MD" w:eastAsia="ru-RU"/>
              </w:rPr>
            </w:pPr>
            <w:r>
              <w:rPr>
                <w:rFonts w:ascii="Times New Roman" w:eastAsia="Times New Roman" w:hAnsi="Times New Roman" w:cs="Times New Roman"/>
                <w:b/>
                <w:sz w:val="20"/>
                <w:szCs w:val="20"/>
                <w:lang w:val="ro-MD" w:eastAsia="ru-RU"/>
              </w:rPr>
              <w:t>Comentariu</w:t>
            </w:r>
          </w:p>
          <w:p w14:paraId="4D3D83AE" w14:textId="1FF0ABDC" w:rsidR="009C7BAD" w:rsidRPr="006D7C08" w:rsidRDefault="006D7C08" w:rsidP="00B770CB">
            <w:pPr>
              <w:tabs>
                <w:tab w:val="left" w:pos="884"/>
                <w:tab w:val="left" w:pos="1196"/>
              </w:tabs>
              <w:spacing w:after="0" w:line="240" w:lineRule="auto"/>
              <w:jc w:val="both"/>
              <w:rPr>
                <w:rFonts w:ascii="Times New Roman" w:eastAsia="Times New Roman" w:hAnsi="Times New Roman" w:cs="Times New Roman"/>
                <w:bCs/>
                <w:sz w:val="20"/>
                <w:szCs w:val="20"/>
                <w:lang w:val="ro-MD" w:eastAsia="ru-RU"/>
              </w:rPr>
            </w:pPr>
            <w:r w:rsidRPr="006D7C08">
              <w:rPr>
                <w:rFonts w:ascii="Times New Roman" w:eastAsia="Times New Roman" w:hAnsi="Times New Roman" w:cs="Times New Roman"/>
                <w:bCs/>
                <w:sz w:val="20"/>
                <w:szCs w:val="20"/>
                <w:lang w:val="ro-MD" w:eastAsia="ru-RU"/>
              </w:rPr>
              <w:t>Textul proiectului nu conține astfel de prevederi.</w:t>
            </w:r>
          </w:p>
        </w:tc>
      </w:tr>
      <w:tr w:rsidR="00A5719A" w:rsidRPr="000435CB" w14:paraId="110853C1" w14:textId="77777777" w:rsidTr="00565AB8">
        <w:tc>
          <w:tcPr>
            <w:tcW w:w="5000" w:type="pct"/>
            <w:gridSpan w:val="5"/>
            <w:shd w:val="clear" w:color="auto" w:fill="auto"/>
          </w:tcPr>
          <w:p w14:paraId="02B26639" w14:textId="611D004C" w:rsidR="00A5719A" w:rsidRPr="004C4996" w:rsidRDefault="00CC1D60" w:rsidP="00A91E60">
            <w:pPr>
              <w:tabs>
                <w:tab w:val="left" w:pos="884"/>
                <w:tab w:val="left" w:pos="1196"/>
              </w:tabs>
              <w:spacing w:after="0" w:line="240" w:lineRule="auto"/>
              <w:jc w:val="center"/>
              <w:rPr>
                <w:rFonts w:ascii="Times New Roman" w:eastAsia="Times New Roman" w:hAnsi="Times New Roman" w:cs="Times New Roman"/>
                <w:b/>
                <w:sz w:val="20"/>
                <w:szCs w:val="20"/>
                <w:lang w:val="ro-RO" w:eastAsia="ru-RU"/>
              </w:rPr>
            </w:pPr>
            <w:r w:rsidRPr="00CC1D60">
              <w:rPr>
                <w:rFonts w:ascii="Times New Roman" w:eastAsia="Times New Roman" w:hAnsi="Times New Roman" w:cs="Times New Roman"/>
                <w:b/>
                <w:sz w:val="20"/>
                <w:szCs w:val="20"/>
                <w:lang w:val="ro-RO" w:eastAsia="ru-RU"/>
              </w:rPr>
              <w:t>II. Obiecții și propuneri la articolele /punctele la proiect</w:t>
            </w:r>
          </w:p>
        </w:tc>
      </w:tr>
      <w:tr w:rsidR="009C7BAD" w:rsidRPr="009E5B76" w14:paraId="7029F31D" w14:textId="77777777" w:rsidTr="006E38D9">
        <w:trPr>
          <w:trHeight w:val="5093"/>
        </w:trPr>
        <w:tc>
          <w:tcPr>
            <w:tcW w:w="1319" w:type="pct"/>
            <w:vMerge w:val="restart"/>
            <w:shd w:val="clear" w:color="auto" w:fill="auto"/>
          </w:tcPr>
          <w:p w14:paraId="116EF981" w14:textId="77777777" w:rsidR="009C7BAD" w:rsidRPr="00B310E8" w:rsidRDefault="009C7BAD" w:rsidP="00B770CB">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r w:rsidRPr="00B310E8">
              <w:rPr>
                <w:rFonts w:ascii="Times New Roman" w:eastAsia="Times New Roman" w:hAnsi="Times New Roman" w:cs="Times New Roman"/>
                <w:sz w:val="20"/>
                <w:szCs w:val="20"/>
                <w:lang w:val="ro-RO" w:eastAsia="ru-RU"/>
              </w:rPr>
              <w:lastRenderedPageBreak/>
              <w:t>2) Punctul 1:</w:t>
            </w:r>
          </w:p>
          <w:p w14:paraId="69668FEB" w14:textId="77777777" w:rsidR="009C7BAD" w:rsidRPr="00B310E8" w:rsidRDefault="009C7BAD" w:rsidP="00B770CB">
            <w:pPr>
              <w:tabs>
                <w:tab w:val="left" w:pos="884"/>
                <w:tab w:val="left" w:pos="1196"/>
              </w:tabs>
              <w:spacing w:after="0" w:line="240" w:lineRule="auto"/>
              <w:jc w:val="both"/>
              <w:rPr>
                <w:rFonts w:ascii="Times New Roman" w:eastAsia="Times New Roman" w:hAnsi="Times New Roman" w:cs="Times New Roman"/>
                <w:sz w:val="20"/>
                <w:szCs w:val="20"/>
                <w:lang w:val="ro-MD" w:eastAsia="ru-RU"/>
              </w:rPr>
            </w:pPr>
            <w:r w:rsidRPr="00B310E8">
              <w:rPr>
                <w:rFonts w:ascii="Times New Roman" w:eastAsia="Times New Roman" w:hAnsi="Times New Roman" w:cs="Times New Roman"/>
                <w:sz w:val="20"/>
                <w:szCs w:val="20"/>
                <w:lang w:val="ro-RO" w:eastAsia="ru-RU"/>
              </w:rPr>
              <w:t>se completeaz</w:t>
            </w:r>
            <w:r w:rsidRPr="00B310E8">
              <w:rPr>
                <w:rFonts w:ascii="Times New Roman" w:eastAsia="Times New Roman" w:hAnsi="Times New Roman" w:cs="Times New Roman"/>
                <w:sz w:val="20"/>
                <w:szCs w:val="20"/>
                <w:lang w:val="ro-MD" w:eastAsia="ru-RU"/>
              </w:rPr>
              <w:t>ă cu noțiunea „notificație” cu următorul cuprins:</w:t>
            </w:r>
          </w:p>
          <w:p w14:paraId="1EAC2435" w14:textId="77777777" w:rsidR="009C7BAD" w:rsidRPr="00B310E8" w:rsidRDefault="009C7BAD" w:rsidP="00B770CB">
            <w:pPr>
              <w:tabs>
                <w:tab w:val="left" w:pos="884"/>
                <w:tab w:val="left" w:pos="1196"/>
              </w:tabs>
              <w:spacing w:after="0" w:line="240" w:lineRule="auto"/>
              <w:jc w:val="both"/>
              <w:rPr>
                <w:rFonts w:ascii="Times New Roman" w:eastAsia="Times New Roman" w:hAnsi="Times New Roman" w:cs="Times New Roman"/>
                <w:sz w:val="20"/>
                <w:szCs w:val="20"/>
                <w:lang w:val="ro-MD" w:eastAsia="ru-RU"/>
              </w:rPr>
            </w:pPr>
            <w:r w:rsidRPr="00B310E8">
              <w:rPr>
                <w:rFonts w:ascii="Times New Roman" w:eastAsia="Times New Roman" w:hAnsi="Times New Roman" w:cs="Times New Roman"/>
                <w:i/>
                <w:iCs/>
                <w:sz w:val="20"/>
                <w:szCs w:val="20"/>
                <w:lang w:val="ro-MD" w:eastAsia="ru-RU"/>
              </w:rPr>
              <w:t>„</w:t>
            </w:r>
            <w:r w:rsidRPr="00B310E8">
              <w:rPr>
                <w:rFonts w:ascii="Times New Roman" w:eastAsia="Times New Roman" w:hAnsi="Times New Roman" w:cs="Times New Roman"/>
                <w:b/>
                <w:bCs/>
                <w:i/>
                <w:iCs/>
                <w:sz w:val="20"/>
                <w:szCs w:val="20"/>
                <w:lang w:val="ro-MD" w:eastAsia="ru-RU"/>
              </w:rPr>
              <w:t>notificație</w:t>
            </w:r>
            <w:r w:rsidRPr="00B310E8">
              <w:rPr>
                <w:rFonts w:ascii="Times New Roman" w:eastAsia="Times New Roman" w:hAnsi="Times New Roman" w:cs="Times New Roman"/>
                <w:sz w:val="20"/>
                <w:szCs w:val="20"/>
                <w:lang w:val="ro-MD" w:eastAsia="ru-RU"/>
              </w:rPr>
              <w:t xml:space="preserve"> – document, pe suport hârtie sau în formă electronică care confirmă luarea la evidență de către Banca Națională a Moldovei a angajamentului extern până la data de 19 iulie 2023 </w:t>
            </w:r>
            <w:bookmarkStart w:id="1" w:name="_Hlk132276062"/>
            <w:r w:rsidRPr="00B310E8">
              <w:rPr>
                <w:rFonts w:ascii="Times New Roman" w:eastAsia="Times New Roman" w:hAnsi="Times New Roman" w:cs="Times New Roman"/>
                <w:sz w:val="20"/>
                <w:szCs w:val="20"/>
                <w:lang w:val="ro-MD" w:eastAsia="ru-RU"/>
              </w:rPr>
              <w:t>(inclusiv)</w:t>
            </w:r>
            <w:bookmarkEnd w:id="1"/>
            <w:r w:rsidRPr="00B310E8">
              <w:rPr>
                <w:rFonts w:ascii="Times New Roman" w:eastAsia="Times New Roman" w:hAnsi="Times New Roman" w:cs="Times New Roman"/>
                <w:sz w:val="20"/>
                <w:szCs w:val="20"/>
                <w:lang w:val="ro-MD" w:eastAsia="ru-RU"/>
              </w:rPr>
              <w:t>. Documentul pe suport hârtie conține semnătura olografă a rezidentului, precum și semnătura olografă a persoanei responsabile a Băncii Naționale a Moldovei și ștampila Băncii Naționale a Moldovei, iar în cazul documentului în formă electronică conține doar semnătura electronică a persoanei responsabile a Băncii Naționale a Moldovei, iar denumirea notificației în cauză va conține textul „(angajament extern luat la evidență);”;</w:t>
            </w:r>
          </w:p>
          <w:p w14:paraId="4CF5C611" w14:textId="228F4396" w:rsidR="009C7BAD" w:rsidRDefault="009C7BAD" w:rsidP="00B770CB">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r w:rsidRPr="00B310E8">
              <w:rPr>
                <w:rFonts w:ascii="Times New Roman" w:eastAsia="Times New Roman" w:hAnsi="Times New Roman" w:cs="Times New Roman"/>
                <w:sz w:val="20"/>
                <w:szCs w:val="20"/>
                <w:lang w:val="ro-RO" w:eastAsia="ru-RU"/>
              </w:rPr>
              <w:t>la noțiunea „persoane juridice rezidente”, textul „lit.b)-g)” se substituie cu textul „lit.b), c), e)-g)”;</w:t>
            </w:r>
          </w:p>
          <w:p w14:paraId="73A1BEE0" w14:textId="77777777" w:rsidR="00963D84" w:rsidRDefault="00DB1508" w:rsidP="00B770CB">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r w:rsidRPr="00DB1508">
              <w:rPr>
                <w:rFonts w:ascii="Times New Roman" w:eastAsia="Times New Roman" w:hAnsi="Times New Roman" w:cs="Times New Roman"/>
                <w:sz w:val="20"/>
                <w:szCs w:val="20"/>
                <w:lang w:val="ro-RO" w:eastAsia="ru-RU"/>
              </w:rPr>
              <w:t>se completează cu următorul text:</w:t>
            </w:r>
          </w:p>
          <w:p w14:paraId="6D209141" w14:textId="28377C21" w:rsidR="00DB1508" w:rsidRDefault="00DB1508" w:rsidP="00B770CB">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r w:rsidRPr="00DB1508">
              <w:rPr>
                <w:rFonts w:ascii="Times New Roman" w:eastAsia="Times New Roman" w:hAnsi="Times New Roman" w:cs="Times New Roman"/>
                <w:sz w:val="20"/>
                <w:szCs w:val="20"/>
                <w:lang w:val="ro-RO" w:eastAsia="ru-RU"/>
              </w:rPr>
              <w:lastRenderedPageBreak/>
              <w:t>„Noţiunile de “angajamente externe” și „confirmarea BNM” au semnificaţiile definite de Instrucţiunea privind notificarea angajamentelor externe, aprobatăe prin Hotărârea Comitetului executiv al Băncii Naţionale a Moldovei nr.12/2020 (în continuare – Instrucţiunea privind notificarea angajamentelor externe).”;</w:t>
            </w:r>
          </w:p>
          <w:p w14:paraId="1E74C13D" w14:textId="77777777" w:rsidR="006D7C08" w:rsidRDefault="006D7C08" w:rsidP="00B770CB">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p>
          <w:p w14:paraId="201CFABF" w14:textId="77777777" w:rsidR="009C7BAD" w:rsidRPr="004B20FE" w:rsidRDefault="009C7BAD" w:rsidP="00B770CB">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r w:rsidRPr="004B20FE">
              <w:rPr>
                <w:rFonts w:ascii="Times New Roman" w:eastAsia="Times New Roman" w:hAnsi="Times New Roman" w:cs="Times New Roman"/>
                <w:sz w:val="20"/>
                <w:szCs w:val="20"/>
                <w:lang w:val="ro-RO" w:eastAsia="ru-RU"/>
              </w:rPr>
              <w:t>24) Punctul 130 va avea următorul cuprins:</w:t>
            </w:r>
          </w:p>
          <w:p w14:paraId="12CC2910" w14:textId="77777777" w:rsidR="009C7BAD" w:rsidRPr="004B20FE" w:rsidRDefault="009C7BAD" w:rsidP="00B770CB">
            <w:pPr>
              <w:tabs>
                <w:tab w:val="left" w:pos="884"/>
                <w:tab w:val="left" w:pos="1196"/>
              </w:tabs>
              <w:spacing w:after="0" w:line="240" w:lineRule="auto"/>
              <w:jc w:val="both"/>
              <w:rPr>
                <w:rFonts w:ascii="Times New Roman" w:eastAsia="Times New Roman" w:hAnsi="Times New Roman" w:cs="Times New Roman"/>
                <w:sz w:val="20"/>
                <w:szCs w:val="20"/>
                <w:lang w:val="ro-MD" w:eastAsia="ru-RU"/>
              </w:rPr>
            </w:pPr>
            <w:r w:rsidRPr="004B20FE">
              <w:rPr>
                <w:rFonts w:ascii="Times New Roman" w:eastAsia="Times New Roman" w:hAnsi="Times New Roman" w:cs="Times New Roman"/>
                <w:sz w:val="20"/>
                <w:szCs w:val="20"/>
                <w:lang w:val="ro-RO" w:eastAsia="ru-RU"/>
              </w:rPr>
              <w:t>”</w:t>
            </w:r>
            <w:r w:rsidRPr="004B20FE">
              <w:rPr>
                <w:rFonts w:ascii="Times New Roman" w:eastAsia="Times New Roman" w:hAnsi="Times New Roman" w:cs="Times New Roman"/>
                <w:b/>
                <w:bCs/>
                <w:sz w:val="20"/>
                <w:szCs w:val="20"/>
                <w:lang w:val="ro-MD" w:eastAsia="ru-RU"/>
              </w:rPr>
              <w:t>130.</w:t>
            </w:r>
            <w:r w:rsidRPr="004B20FE">
              <w:rPr>
                <w:rFonts w:ascii="Times New Roman" w:eastAsia="Times New Roman" w:hAnsi="Times New Roman" w:cs="Times New Roman"/>
                <w:sz w:val="20"/>
                <w:szCs w:val="20"/>
                <w:lang w:val="ro-MD" w:eastAsia="ru-RU"/>
              </w:rPr>
              <w:t xml:space="preserve"> La efectuarea plăților și transferurilor în cadrul angajamentelor externe supuse notificării la Banca Națională a Moldovei: </w:t>
            </w:r>
          </w:p>
          <w:p w14:paraId="3D4FFCB7" w14:textId="77777777" w:rsidR="009C7BAD" w:rsidRPr="004B20FE" w:rsidRDefault="009C7BAD" w:rsidP="00B770CB">
            <w:pPr>
              <w:tabs>
                <w:tab w:val="left" w:pos="884"/>
                <w:tab w:val="left" w:pos="1196"/>
              </w:tabs>
              <w:spacing w:after="0" w:line="240" w:lineRule="auto"/>
              <w:jc w:val="both"/>
              <w:rPr>
                <w:rFonts w:ascii="Times New Roman" w:eastAsia="Times New Roman" w:hAnsi="Times New Roman" w:cs="Times New Roman"/>
                <w:sz w:val="20"/>
                <w:szCs w:val="20"/>
                <w:lang w:val="ro-MD" w:eastAsia="ru-RU"/>
              </w:rPr>
            </w:pPr>
            <w:r w:rsidRPr="004B20FE">
              <w:rPr>
                <w:rFonts w:ascii="Times New Roman" w:eastAsia="Times New Roman" w:hAnsi="Times New Roman" w:cs="Times New Roman"/>
                <w:sz w:val="20"/>
                <w:szCs w:val="20"/>
                <w:lang w:val="ro-MD" w:eastAsia="ru-RU"/>
              </w:rPr>
              <w:t>a) pentru angajamentele externe notificate și luate la evidență de către BNM până la 19 iulie 2023 (inclusiv), rezidentul este obligat să prezinte prestatorului SPR notificația (după caz, notificația modificată), care poartă înscrierea privind luarea la evidență de către Banca Națională a Moldovei a angajamentului extern. În cazul prezentării de către rezident a notificației (după caz, notificației modificate) pe suport hârtie, notificația în cauză va conține semnătura olografă a rezidentului, precum și semnătura olografă a persoanei responsabile a Băncii Naționale a Moldovei și ștampila Băncii Naționale a Moldovei.</w:t>
            </w:r>
          </w:p>
          <w:p w14:paraId="409ED145" w14:textId="77777777" w:rsidR="009C7BAD" w:rsidRPr="004B20FE" w:rsidRDefault="009C7BAD" w:rsidP="00B770CB">
            <w:pPr>
              <w:tabs>
                <w:tab w:val="left" w:pos="884"/>
                <w:tab w:val="left" w:pos="1196"/>
              </w:tabs>
              <w:spacing w:after="0" w:line="240" w:lineRule="auto"/>
              <w:jc w:val="both"/>
              <w:rPr>
                <w:rFonts w:ascii="Times New Roman" w:eastAsia="Times New Roman" w:hAnsi="Times New Roman" w:cs="Times New Roman"/>
                <w:sz w:val="20"/>
                <w:szCs w:val="20"/>
                <w:lang w:val="ro-MD" w:eastAsia="ru-RU"/>
              </w:rPr>
            </w:pPr>
            <w:r w:rsidRPr="004B20FE">
              <w:rPr>
                <w:rFonts w:ascii="Times New Roman" w:eastAsia="Times New Roman" w:hAnsi="Times New Roman" w:cs="Times New Roman"/>
                <w:sz w:val="20"/>
                <w:szCs w:val="20"/>
                <w:lang w:val="ro-MD" w:eastAsia="ru-RU"/>
              </w:rPr>
              <w:t>Notificațiile, după caz, notificațiile modificate (pe suport hârtie sau în formă electronică) aferente angajamentelor externe luate la evidență până la data de 19 iulie 2023 (inclusiv) pot fi utilizate de către rezidenți la efectuarea plăților și transferurilor până la stingerea obligațiilor aferente angajamentelor externe luate la evidență, dacă nu au survenit modificări aferente angajamentelor externe în cauză, cu luarea în considerare a pct.68</w:t>
            </w:r>
            <w:r w:rsidRPr="004B20FE">
              <w:rPr>
                <w:rFonts w:ascii="Times New Roman" w:eastAsia="Times New Roman" w:hAnsi="Times New Roman" w:cs="Times New Roman"/>
                <w:sz w:val="20"/>
                <w:szCs w:val="20"/>
                <w:vertAlign w:val="superscript"/>
                <w:lang w:val="ro-MD" w:eastAsia="ru-RU"/>
              </w:rPr>
              <w:t>2</w:t>
            </w:r>
            <w:r w:rsidRPr="004B20FE">
              <w:rPr>
                <w:rFonts w:ascii="Times New Roman" w:eastAsia="Times New Roman" w:hAnsi="Times New Roman" w:cs="Times New Roman"/>
                <w:sz w:val="20"/>
                <w:szCs w:val="20"/>
                <w:lang w:val="ro-MD" w:eastAsia="ru-RU"/>
              </w:rPr>
              <w:t xml:space="preserve"> din Instrucțiunea privind notificarea angajamentelor externe;</w:t>
            </w:r>
          </w:p>
          <w:p w14:paraId="27CF2746" w14:textId="77777777" w:rsidR="009C7BAD" w:rsidRPr="004B20FE" w:rsidRDefault="009C7BAD" w:rsidP="00B770CB">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r w:rsidRPr="004B20FE">
              <w:rPr>
                <w:rFonts w:ascii="Times New Roman" w:eastAsia="Times New Roman" w:hAnsi="Times New Roman" w:cs="Times New Roman"/>
                <w:sz w:val="20"/>
                <w:szCs w:val="20"/>
                <w:lang w:val="ro-MD" w:eastAsia="ru-RU"/>
              </w:rPr>
              <w:lastRenderedPageBreak/>
              <w:t>b) pentru celelalte angajamente externe, rezidentul este obligat să prezinte prestatorului SPR confirmarea BNM (după caz, confirmarea BNM modificată), care poartă numărul de evidență a angajamentului extern, precum și data luării la evidență de către Banca Națională a Moldovei a angajamentului extern, conform pct.29 din Instrucțiunea privind notificarea angajamentelor externe.”;</w:t>
            </w:r>
          </w:p>
          <w:p w14:paraId="7892503C" w14:textId="77777777" w:rsidR="009C7BAD" w:rsidRPr="00B310E8" w:rsidRDefault="009C7BAD" w:rsidP="00B770CB">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p>
          <w:p w14:paraId="0BBC5897" w14:textId="77777777" w:rsidR="009C7BAD" w:rsidRPr="00B310E8" w:rsidRDefault="009C7BAD" w:rsidP="00B770CB">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r w:rsidRPr="00B310E8">
              <w:rPr>
                <w:rFonts w:ascii="Times New Roman" w:eastAsia="Times New Roman" w:hAnsi="Times New Roman" w:cs="Times New Roman"/>
                <w:sz w:val="20"/>
                <w:szCs w:val="20"/>
                <w:lang w:val="ro-RO" w:eastAsia="ru-RU"/>
              </w:rPr>
              <w:t xml:space="preserve">la noțiunea „persoane juridice nerezidente”, textul „lit.b)-i)” </w:t>
            </w:r>
            <w:bookmarkStart w:id="2" w:name="_Hlk127797420"/>
            <w:r w:rsidRPr="00B310E8">
              <w:rPr>
                <w:rFonts w:ascii="Times New Roman" w:eastAsia="Times New Roman" w:hAnsi="Times New Roman" w:cs="Times New Roman"/>
                <w:sz w:val="20"/>
                <w:szCs w:val="20"/>
                <w:lang w:val="ro-RO" w:eastAsia="ru-RU"/>
              </w:rPr>
              <w:t xml:space="preserve">se substituie cu textul </w:t>
            </w:r>
            <w:bookmarkEnd w:id="2"/>
            <w:r w:rsidRPr="00B310E8">
              <w:rPr>
                <w:rFonts w:ascii="Times New Roman" w:eastAsia="Times New Roman" w:hAnsi="Times New Roman" w:cs="Times New Roman"/>
                <w:sz w:val="20"/>
                <w:szCs w:val="20"/>
                <w:lang w:val="ro-RO" w:eastAsia="ru-RU"/>
              </w:rPr>
              <w:t>„lit.b)-d), f)-i)”;</w:t>
            </w:r>
          </w:p>
          <w:p w14:paraId="539F473C" w14:textId="77777777" w:rsidR="009C7BAD" w:rsidRPr="00B310E8" w:rsidRDefault="009C7BAD" w:rsidP="00B770CB">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r w:rsidRPr="00B310E8">
              <w:rPr>
                <w:rFonts w:ascii="Times New Roman" w:eastAsia="Times New Roman" w:hAnsi="Times New Roman" w:cs="Times New Roman"/>
                <w:sz w:val="20"/>
                <w:szCs w:val="20"/>
                <w:lang w:val="ro-RO" w:eastAsia="ru-RU"/>
              </w:rPr>
              <w:t>se completează cu următorul text:</w:t>
            </w:r>
          </w:p>
          <w:p w14:paraId="31D9C7A0" w14:textId="74718211" w:rsidR="009C7BAD" w:rsidRPr="00BA66D1" w:rsidRDefault="009C7BAD" w:rsidP="00B770CB">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r w:rsidRPr="00B310E8">
              <w:rPr>
                <w:rFonts w:ascii="Times New Roman" w:eastAsia="Times New Roman" w:hAnsi="Times New Roman" w:cs="Times New Roman"/>
                <w:sz w:val="20"/>
                <w:szCs w:val="20"/>
                <w:lang w:val="ro-RO" w:eastAsia="ru-RU"/>
              </w:rPr>
              <w:t>„</w:t>
            </w:r>
            <w:bookmarkStart w:id="3" w:name="_Hlk132196828"/>
            <w:r w:rsidRPr="00B310E8">
              <w:rPr>
                <w:rFonts w:ascii="Times New Roman" w:eastAsia="Times New Roman" w:hAnsi="Times New Roman" w:cs="Times New Roman"/>
                <w:sz w:val="20"/>
                <w:szCs w:val="20"/>
                <w:lang w:val="ro-RO" w:eastAsia="ru-RU"/>
              </w:rPr>
              <w:t>Noţiunile de “angajamente externe” și „confirmarea BNM” au semnificaţiile definite de Instrucţiunea privind notificarea angajamentelor externe, aprobată prin Hotărârea Comitetului executiv al Băncii Naţionale a Moldovei nr.12/2020 (în continuare – Instrucţiunea privind notificarea angajamentelor externe).”</w:t>
            </w:r>
            <w:bookmarkEnd w:id="3"/>
          </w:p>
        </w:tc>
        <w:tc>
          <w:tcPr>
            <w:tcW w:w="661" w:type="pct"/>
            <w:shd w:val="clear" w:color="auto" w:fill="auto"/>
          </w:tcPr>
          <w:p w14:paraId="0ACC1BAC" w14:textId="6F32CD9C" w:rsidR="009C7BAD" w:rsidRDefault="009C7BAD" w:rsidP="00B770CB">
            <w:pPr>
              <w:tabs>
                <w:tab w:val="left" w:pos="884"/>
                <w:tab w:val="left" w:pos="1196"/>
              </w:tabs>
              <w:spacing w:after="0" w:line="240" w:lineRule="auto"/>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lastRenderedPageBreak/>
              <w:t>Ministerul Finanțelor</w:t>
            </w:r>
          </w:p>
        </w:tc>
        <w:tc>
          <w:tcPr>
            <w:tcW w:w="356" w:type="pct"/>
            <w:shd w:val="clear" w:color="auto" w:fill="auto"/>
          </w:tcPr>
          <w:p w14:paraId="534E4117" w14:textId="4A922135" w:rsidR="009C7BAD" w:rsidRPr="000378EC" w:rsidRDefault="00DB3463"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7</w:t>
            </w:r>
          </w:p>
        </w:tc>
        <w:tc>
          <w:tcPr>
            <w:tcW w:w="1526" w:type="pct"/>
            <w:shd w:val="clear" w:color="auto" w:fill="auto"/>
          </w:tcPr>
          <w:p w14:paraId="30C06113" w14:textId="06F6AD75" w:rsidR="009C7BAD" w:rsidRPr="00D03DE8" w:rsidRDefault="009C7BAD" w:rsidP="00B770CB">
            <w:pPr>
              <w:tabs>
                <w:tab w:val="left" w:pos="180"/>
                <w:tab w:val="left" w:pos="360"/>
              </w:tabs>
              <w:spacing w:after="0" w:line="240" w:lineRule="auto"/>
              <w:ind w:firstLine="6"/>
              <w:jc w:val="both"/>
              <w:rPr>
                <w:rFonts w:ascii="Times New Roman" w:eastAsia="Times New Roman" w:hAnsi="Times New Roman" w:cs="Times New Roman"/>
                <w:bCs/>
                <w:sz w:val="20"/>
                <w:szCs w:val="20"/>
                <w:lang w:val="ro-RO"/>
              </w:rPr>
            </w:pPr>
            <w:r w:rsidRPr="00D03DE8">
              <w:rPr>
                <w:rFonts w:ascii="Times New Roman" w:eastAsia="Times New Roman" w:hAnsi="Times New Roman" w:cs="Times New Roman"/>
                <w:bCs/>
                <w:sz w:val="20"/>
                <w:szCs w:val="20"/>
                <w:lang w:val="ro-RO"/>
              </w:rPr>
              <w:t xml:space="preserve">La subpct.2, cu referire la redacția noțiunii de „notificație”, după sintagma „Banca Națională a Moldovei” să se completeze cu textul </w:t>
            </w:r>
            <w:bookmarkStart w:id="4" w:name="_Hlk135139611"/>
            <w:r w:rsidRPr="00D03DE8">
              <w:rPr>
                <w:rFonts w:ascii="Times New Roman" w:eastAsia="Times New Roman" w:hAnsi="Times New Roman" w:cs="Times New Roman"/>
                <w:bCs/>
                <w:sz w:val="20"/>
                <w:szCs w:val="20"/>
                <w:lang w:val="ro-RO"/>
              </w:rPr>
              <w:t>„(în continuare – BNM)</w:t>
            </w:r>
            <w:bookmarkEnd w:id="4"/>
            <w:r w:rsidRPr="00D03DE8">
              <w:rPr>
                <w:rFonts w:ascii="Times New Roman" w:eastAsia="Times New Roman" w:hAnsi="Times New Roman" w:cs="Times New Roman"/>
                <w:bCs/>
                <w:sz w:val="20"/>
                <w:szCs w:val="20"/>
                <w:lang w:val="ro-RO"/>
              </w:rPr>
              <w:t>”, întrucât acronimele se indică, de regulă, la prima mențiune a sintagmei.</w:t>
            </w:r>
          </w:p>
          <w:p w14:paraId="27E78106" w14:textId="77777777" w:rsidR="009C7BAD" w:rsidRDefault="009C7BAD" w:rsidP="00B770CB">
            <w:pPr>
              <w:tabs>
                <w:tab w:val="left" w:pos="180"/>
                <w:tab w:val="left" w:pos="360"/>
              </w:tabs>
              <w:spacing w:after="0" w:line="240" w:lineRule="auto"/>
              <w:ind w:firstLine="6"/>
              <w:jc w:val="both"/>
              <w:rPr>
                <w:rFonts w:ascii="Times New Roman" w:eastAsia="Times New Roman" w:hAnsi="Times New Roman" w:cs="Times New Roman"/>
                <w:bCs/>
                <w:sz w:val="20"/>
                <w:szCs w:val="20"/>
                <w:lang w:val="ro-RO"/>
              </w:rPr>
            </w:pPr>
            <w:r w:rsidRPr="00D03DE8">
              <w:rPr>
                <w:rFonts w:ascii="Times New Roman" w:eastAsia="Times New Roman" w:hAnsi="Times New Roman" w:cs="Times New Roman"/>
                <w:bCs/>
                <w:sz w:val="20"/>
                <w:szCs w:val="20"/>
                <w:lang w:val="ro-RO"/>
              </w:rPr>
              <w:t>Suplimentar, la pct.5 din Regulament supus</w:t>
            </w:r>
            <w:r>
              <w:rPr>
                <w:rFonts w:ascii="Times New Roman" w:eastAsia="Times New Roman" w:hAnsi="Times New Roman" w:cs="Times New Roman"/>
                <w:bCs/>
                <w:sz w:val="20"/>
                <w:szCs w:val="20"/>
                <w:lang w:val="ro-RO"/>
              </w:rPr>
              <w:t xml:space="preserve"> </w:t>
            </w:r>
            <w:r w:rsidRPr="00D03DE8">
              <w:rPr>
                <w:rFonts w:ascii="Times New Roman" w:eastAsia="Times New Roman" w:hAnsi="Times New Roman" w:cs="Times New Roman"/>
                <w:bCs/>
                <w:sz w:val="20"/>
                <w:szCs w:val="20"/>
                <w:lang w:val="ro-RO"/>
              </w:rPr>
              <w:t>modificării, urmează să se excludă textul „(în continuare – BNM)”, pentru aducerea în concordanță a prevederilor</w:t>
            </w:r>
            <w:r>
              <w:rPr>
                <w:rFonts w:ascii="Times New Roman" w:eastAsia="Times New Roman" w:hAnsi="Times New Roman" w:cs="Times New Roman"/>
                <w:bCs/>
                <w:sz w:val="20"/>
                <w:szCs w:val="20"/>
                <w:lang w:val="ro-RO"/>
              </w:rPr>
              <w:t xml:space="preserve"> </w:t>
            </w:r>
            <w:r w:rsidRPr="00D03DE8">
              <w:rPr>
                <w:rFonts w:ascii="Times New Roman" w:eastAsia="Times New Roman" w:hAnsi="Times New Roman" w:cs="Times New Roman"/>
                <w:bCs/>
                <w:sz w:val="20"/>
                <w:szCs w:val="20"/>
                <w:lang w:val="ro-RO"/>
              </w:rPr>
              <w:t>Regulamentului cu modificarea respectivă.</w:t>
            </w:r>
          </w:p>
          <w:p w14:paraId="59A9A449" w14:textId="355E930C" w:rsidR="009C7BAD" w:rsidRPr="00D03DE8" w:rsidRDefault="009C7BAD" w:rsidP="00B770CB">
            <w:pPr>
              <w:tabs>
                <w:tab w:val="left" w:pos="180"/>
                <w:tab w:val="left" w:pos="360"/>
              </w:tabs>
              <w:spacing w:after="0" w:line="240" w:lineRule="auto"/>
              <w:ind w:firstLine="6"/>
              <w:jc w:val="both"/>
              <w:rPr>
                <w:rFonts w:ascii="Times New Roman" w:eastAsia="Times New Roman" w:hAnsi="Times New Roman" w:cs="Times New Roman"/>
                <w:bCs/>
                <w:sz w:val="20"/>
                <w:szCs w:val="20"/>
                <w:lang w:val="ro-RO"/>
              </w:rPr>
            </w:pPr>
            <w:r w:rsidRPr="00D03DE8">
              <w:rPr>
                <w:rFonts w:ascii="Times New Roman" w:eastAsia="Times New Roman" w:hAnsi="Times New Roman" w:cs="Times New Roman"/>
                <w:bCs/>
                <w:sz w:val="20"/>
                <w:szCs w:val="20"/>
                <w:lang w:val="ro-RO"/>
              </w:rPr>
              <w:t>La subpct.2), după indicarea acronimului ”BNM”, și subpct.24), sintagma</w:t>
            </w:r>
            <w:r>
              <w:rPr>
                <w:rFonts w:ascii="Times New Roman" w:eastAsia="Times New Roman" w:hAnsi="Times New Roman" w:cs="Times New Roman"/>
                <w:bCs/>
                <w:sz w:val="20"/>
                <w:szCs w:val="20"/>
                <w:lang w:val="ro-RO"/>
              </w:rPr>
              <w:t xml:space="preserve"> </w:t>
            </w:r>
            <w:r w:rsidRPr="00D03DE8">
              <w:rPr>
                <w:rFonts w:ascii="Times New Roman" w:eastAsia="Times New Roman" w:hAnsi="Times New Roman" w:cs="Times New Roman"/>
                <w:bCs/>
                <w:sz w:val="20"/>
                <w:szCs w:val="20"/>
                <w:lang w:val="ro-RO"/>
              </w:rPr>
              <w:t>,,Banca Națională a Moldovei” la orice formă gramaticală, să se substituie cu</w:t>
            </w:r>
            <w:r w:rsidR="00E446A7">
              <w:rPr>
                <w:rFonts w:ascii="Times New Roman" w:eastAsia="Times New Roman" w:hAnsi="Times New Roman" w:cs="Times New Roman"/>
                <w:bCs/>
                <w:sz w:val="20"/>
                <w:szCs w:val="20"/>
                <w:lang w:val="ro-RO"/>
              </w:rPr>
              <w:t xml:space="preserve"> </w:t>
            </w:r>
            <w:r w:rsidRPr="00D03DE8">
              <w:rPr>
                <w:rFonts w:ascii="Times New Roman" w:eastAsia="Times New Roman" w:hAnsi="Times New Roman" w:cs="Times New Roman"/>
                <w:bCs/>
                <w:sz w:val="20"/>
                <w:szCs w:val="20"/>
                <w:lang w:val="ro-RO"/>
              </w:rPr>
              <w:t xml:space="preserve">acronimul „BNM”, pentru asigurarea unei terminologii unice pe tot parcursul textului </w:t>
            </w:r>
          </w:p>
          <w:p w14:paraId="7C24049D" w14:textId="5C106EB1" w:rsidR="009C7BAD" w:rsidRDefault="009C7BAD" w:rsidP="00B770CB">
            <w:pPr>
              <w:tabs>
                <w:tab w:val="left" w:pos="180"/>
                <w:tab w:val="left" w:pos="360"/>
              </w:tabs>
              <w:spacing w:after="0" w:line="240" w:lineRule="auto"/>
              <w:ind w:firstLine="6"/>
              <w:jc w:val="both"/>
              <w:rPr>
                <w:rFonts w:ascii="Times New Roman" w:eastAsia="Times New Roman" w:hAnsi="Times New Roman" w:cs="Times New Roman"/>
                <w:bCs/>
                <w:sz w:val="20"/>
                <w:szCs w:val="20"/>
                <w:lang w:val="ro-RO"/>
              </w:rPr>
            </w:pPr>
            <w:r w:rsidRPr="00D03DE8">
              <w:rPr>
                <w:rFonts w:ascii="Times New Roman" w:eastAsia="Times New Roman" w:hAnsi="Times New Roman" w:cs="Times New Roman"/>
                <w:bCs/>
                <w:sz w:val="20"/>
                <w:szCs w:val="20"/>
                <w:lang w:val="ro-RO"/>
              </w:rPr>
              <w:t>proiectului.</w:t>
            </w:r>
          </w:p>
        </w:tc>
        <w:tc>
          <w:tcPr>
            <w:tcW w:w="1138" w:type="pct"/>
            <w:shd w:val="clear" w:color="auto" w:fill="auto"/>
          </w:tcPr>
          <w:p w14:paraId="0020A911" w14:textId="1B6D13CF" w:rsidR="009C7BAD" w:rsidRDefault="009E5B76" w:rsidP="00B770CB">
            <w:pPr>
              <w:tabs>
                <w:tab w:val="left" w:pos="180"/>
                <w:tab w:val="left" w:pos="360"/>
              </w:tabs>
              <w:spacing w:after="0" w:line="240" w:lineRule="auto"/>
              <w:ind w:firstLine="6"/>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t>Comentariu</w:t>
            </w:r>
          </w:p>
          <w:p w14:paraId="2F27808D" w14:textId="7EB82FE8" w:rsidR="009E5B76" w:rsidRDefault="009E5B76" w:rsidP="00B770CB">
            <w:pPr>
              <w:tabs>
                <w:tab w:val="left" w:pos="180"/>
                <w:tab w:val="left" w:pos="360"/>
              </w:tabs>
              <w:spacing w:after="0" w:line="240" w:lineRule="auto"/>
              <w:ind w:firstLine="6"/>
              <w:jc w:val="both"/>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 xml:space="preserve">Urmare </w:t>
            </w:r>
            <w:r w:rsidRPr="009E5B76">
              <w:rPr>
                <w:rFonts w:ascii="Times New Roman" w:eastAsia="Times New Roman" w:hAnsi="Times New Roman" w:cs="Times New Roman"/>
                <w:bCs/>
                <w:sz w:val="20"/>
                <w:szCs w:val="20"/>
                <w:lang w:val="ro-RO"/>
              </w:rPr>
              <w:t>revizui</w:t>
            </w:r>
            <w:r>
              <w:rPr>
                <w:rFonts w:ascii="Times New Roman" w:eastAsia="Times New Roman" w:hAnsi="Times New Roman" w:cs="Times New Roman"/>
                <w:bCs/>
                <w:sz w:val="20"/>
                <w:szCs w:val="20"/>
                <w:lang w:val="ro-RO"/>
              </w:rPr>
              <w:t>rii</w:t>
            </w:r>
            <w:r w:rsidRPr="009E5B76">
              <w:rPr>
                <w:rFonts w:ascii="Times New Roman" w:eastAsia="Times New Roman" w:hAnsi="Times New Roman" w:cs="Times New Roman"/>
                <w:bCs/>
                <w:sz w:val="20"/>
                <w:szCs w:val="20"/>
                <w:lang w:val="ro-RO"/>
              </w:rPr>
              <w:t xml:space="preserve"> numerot</w:t>
            </w:r>
            <w:r>
              <w:rPr>
                <w:rFonts w:ascii="Times New Roman" w:eastAsia="Times New Roman" w:hAnsi="Times New Roman" w:cs="Times New Roman"/>
                <w:bCs/>
                <w:sz w:val="20"/>
                <w:szCs w:val="20"/>
                <w:lang w:val="ro-RO"/>
              </w:rPr>
              <w:t>ării</w:t>
            </w:r>
            <w:r w:rsidRPr="009E5B76">
              <w:rPr>
                <w:rFonts w:ascii="Times New Roman" w:eastAsia="Times New Roman" w:hAnsi="Times New Roman" w:cs="Times New Roman"/>
                <w:bCs/>
                <w:sz w:val="20"/>
                <w:szCs w:val="20"/>
                <w:lang w:val="ro-RO"/>
              </w:rPr>
              <w:t xml:space="preserve"> elementelor structurale din proiect</w:t>
            </w:r>
            <w:r>
              <w:rPr>
                <w:rFonts w:ascii="Times New Roman" w:eastAsia="Times New Roman" w:hAnsi="Times New Roman" w:cs="Times New Roman"/>
                <w:bCs/>
                <w:sz w:val="20"/>
                <w:szCs w:val="20"/>
                <w:lang w:val="ro-RO"/>
              </w:rPr>
              <w:t xml:space="preserve"> (propunerea Ministerului Justiției – pct.4 din prezenta sinteză)</w:t>
            </w:r>
            <w:r w:rsidR="008D6ECA">
              <w:rPr>
                <w:rFonts w:ascii="Times New Roman" w:eastAsia="Times New Roman" w:hAnsi="Times New Roman" w:cs="Times New Roman"/>
                <w:bCs/>
                <w:sz w:val="20"/>
                <w:szCs w:val="20"/>
                <w:lang w:val="ro-RO"/>
              </w:rPr>
              <w:t>,</w:t>
            </w:r>
            <w:r>
              <w:rPr>
                <w:rFonts w:ascii="Times New Roman" w:eastAsia="Times New Roman" w:hAnsi="Times New Roman" w:cs="Times New Roman"/>
                <w:bCs/>
                <w:sz w:val="20"/>
                <w:szCs w:val="20"/>
                <w:lang w:val="ro-RO"/>
              </w:rPr>
              <w:t xml:space="preserve"> subpct.2) a fost renumerotat în subpct.3).</w:t>
            </w:r>
          </w:p>
          <w:p w14:paraId="4B538595" w14:textId="482C156B" w:rsidR="009E5B76" w:rsidRPr="00E65FC9" w:rsidRDefault="009E5B76" w:rsidP="00B770CB">
            <w:pPr>
              <w:tabs>
                <w:tab w:val="left" w:pos="180"/>
                <w:tab w:val="left" w:pos="360"/>
              </w:tabs>
              <w:spacing w:after="0" w:line="240" w:lineRule="auto"/>
              <w:ind w:firstLine="6"/>
              <w:jc w:val="both"/>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Totodată</w:t>
            </w:r>
            <w:r w:rsidR="008D6ECA">
              <w:rPr>
                <w:rFonts w:ascii="Times New Roman" w:eastAsia="Times New Roman" w:hAnsi="Times New Roman" w:cs="Times New Roman"/>
                <w:bCs/>
                <w:sz w:val="20"/>
                <w:szCs w:val="20"/>
                <w:lang w:val="ro-RO"/>
              </w:rPr>
              <w:t>,</w:t>
            </w:r>
            <w:r>
              <w:rPr>
                <w:rFonts w:ascii="Times New Roman" w:eastAsia="Times New Roman" w:hAnsi="Times New Roman" w:cs="Times New Roman"/>
                <w:bCs/>
                <w:sz w:val="20"/>
                <w:szCs w:val="20"/>
                <w:lang w:val="ro-RO"/>
              </w:rPr>
              <w:t xml:space="preserve"> BNM a reevaluat necesitatea definirii noțiunii de „notificație” și a exclus-o, specificând în</w:t>
            </w:r>
            <w:r w:rsidR="0087238C">
              <w:rPr>
                <w:rFonts w:ascii="Times New Roman" w:eastAsia="Times New Roman" w:hAnsi="Times New Roman" w:cs="Times New Roman"/>
                <w:bCs/>
                <w:sz w:val="20"/>
                <w:szCs w:val="20"/>
                <w:lang w:val="ro-RO"/>
              </w:rPr>
              <w:t xml:space="preserve"> </w:t>
            </w:r>
            <w:r w:rsidR="0087238C" w:rsidRPr="00E65FC9">
              <w:rPr>
                <w:rFonts w:ascii="Times New Roman" w:eastAsia="Times New Roman" w:hAnsi="Times New Roman" w:cs="Times New Roman"/>
                <w:bCs/>
                <w:sz w:val="20"/>
                <w:szCs w:val="20"/>
                <w:lang w:val="ro-RO"/>
              </w:rPr>
              <w:t xml:space="preserve">pct.2 al proiectului HCE al BNM </w:t>
            </w:r>
            <w:r w:rsidR="0015683E" w:rsidRPr="00E65FC9">
              <w:rPr>
                <w:rFonts w:ascii="Times New Roman" w:eastAsia="Times New Roman" w:hAnsi="Times New Roman" w:cs="Times New Roman"/>
                <w:bCs/>
                <w:sz w:val="20"/>
                <w:szCs w:val="20"/>
                <w:lang w:val="ro-RO"/>
              </w:rPr>
              <w:t xml:space="preserve">că pentru angajamentele externe luate la evidență de către BNM până la </w:t>
            </w:r>
            <w:r w:rsidR="0087238C" w:rsidRPr="00E65FC9">
              <w:rPr>
                <w:rFonts w:ascii="Times New Roman" w:eastAsia="Times New Roman" w:hAnsi="Times New Roman" w:cs="Times New Roman"/>
                <w:bCs/>
                <w:sz w:val="20"/>
                <w:szCs w:val="20"/>
                <w:lang w:val="ro-RO"/>
              </w:rPr>
              <w:t>data intrării în vigoare a hotărârii</w:t>
            </w:r>
            <w:r w:rsidR="008D6ECA">
              <w:rPr>
                <w:rFonts w:ascii="Times New Roman" w:eastAsia="Times New Roman" w:hAnsi="Times New Roman" w:cs="Times New Roman"/>
                <w:bCs/>
                <w:sz w:val="20"/>
                <w:szCs w:val="20"/>
                <w:lang w:val="ro-RO"/>
              </w:rPr>
              <w:t>,</w:t>
            </w:r>
            <w:r w:rsidR="0087238C" w:rsidRPr="00E65FC9">
              <w:rPr>
                <w:lang w:val="ro-RO"/>
              </w:rPr>
              <w:t xml:space="preserve"> </w:t>
            </w:r>
            <w:r w:rsidR="0087238C" w:rsidRPr="00E65FC9">
              <w:rPr>
                <w:rFonts w:ascii="Times New Roman" w:eastAsia="Times New Roman" w:hAnsi="Times New Roman" w:cs="Times New Roman"/>
                <w:bCs/>
                <w:sz w:val="20"/>
                <w:szCs w:val="20"/>
                <w:lang w:val="ro-RO"/>
              </w:rPr>
              <w:t>drept confirmare a BNM privind luarea la evidență a angajamentului extern, se va considera notificația care confirmă luarea la evidență a acestui angajament extern, eliberată în conformitate cu Instrucțiunea privind notificarea angajamentelor externe</w:t>
            </w:r>
            <w:r w:rsidR="0015683E" w:rsidRPr="00E65FC9">
              <w:rPr>
                <w:rFonts w:ascii="Times New Roman" w:eastAsia="Times New Roman" w:hAnsi="Times New Roman" w:cs="Times New Roman"/>
                <w:bCs/>
                <w:sz w:val="20"/>
                <w:szCs w:val="20"/>
                <w:lang w:val="ro-RO"/>
              </w:rPr>
              <w:t>.</w:t>
            </w:r>
          </w:p>
          <w:p w14:paraId="0CD20582" w14:textId="009B055A" w:rsidR="0015683E" w:rsidRPr="000758CA" w:rsidRDefault="0015683E" w:rsidP="00B770CB">
            <w:pPr>
              <w:tabs>
                <w:tab w:val="left" w:pos="180"/>
                <w:tab w:val="left" w:pos="360"/>
              </w:tabs>
              <w:spacing w:after="0" w:line="240" w:lineRule="auto"/>
              <w:ind w:firstLine="6"/>
              <w:jc w:val="both"/>
              <w:rPr>
                <w:rFonts w:ascii="Times New Roman" w:eastAsia="Times New Roman" w:hAnsi="Times New Roman" w:cs="Times New Roman"/>
                <w:bCs/>
                <w:sz w:val="20"/>
                <w:szCs w:val="20"/>
                <w:lang w:val="ro-RO"/>
              </w:rPr>
            </w:pPr>
            <w:r w:rsidRPr="00E65FC9">
              <w:rPr>
                <w:rFonts w:ascii="Times New Roman" w:eastAsia="Times New Roman" w:hAnsi="Times New Roman" w:cs="Times New Roman"/>
                <w:bCs/>
                <w:sz w:val="20"/>
                <w:szCs w:val="20"/>
                <w:lang w:val="ro-RO"/>
              </w:rPr>
              <w:t>Propunerile redacționale se acceptă</w:t>
            </w:r>
            <w:r>
              <w:rPr>
                <w:rFonts w:ascii="Times New Roman" w:eastAsia="Times New Roman" w:hAnsi="Times New Roman" w:cs="Times New Roman"/>
                <w:bCs/>
                <w:sz w:val="20"/>
                <w:szCs w:val="20"/>
                <w:lang w:val="ro-RO"/>
              </w:rPr>
              <w:t>.</w:t>
            </w:r>
          </w:p>
        </w:tc>
      </w:tr>
      <w:tr w:rsidR="009C7BAD" w:rsidRPr="000435CB" w14:paraId="7F784B6B" w14:textId="77777777" w:rsidTr="00565AB8">
        <w:trPr>
          <w:trHeight w:val="8158"/>
        </w:trPr>
        <w:tc>
          <w:tcPr>
            <w:tcW w:w="1319" w:type="pct"/>
            <w:vMerge/>
            <w:shd w:val="clear" w:color="auto" w:fill="auto"/>
          </w:tcPr>
          <w:p w14:paraId="7F6B835E" w14:textId="77777777" w:rsidR="009C7BAD" w:rsidRPr="00B310E8" w:rsidRDefault="009C7BAD" w:rsidP="00B770CB">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p>
        </w:tc>
        <w:tc>
          <w:tcPr>
            <w:tcW w:w="661" w:type="pct"/>
            <w:shd w:val="clear" w:color="auto" w:fill="auto"/>
          </w:tcPr>
          <w:p w14:paraId="5A9BB30B" w14:textId="3EFD3E8D" w:rsidR="009C7BAD" w:rsidRDefault="009C7BAD" w:rsidP="00B770CB">
            <w:pPr>
              <w:tabs>
                <w:tab w:val="left" w:pos="884"/>
                <w:tab w:val="left" w:pos="1196"/>
              </w:tabs>
              <w:spacing w:after="0" w:line="240" w:lineRule="auto"/>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eastAsia="ru-RU"/>
              </w:rPr>
              <w:t>Ministerul Justiției</w:t>
            </w:r>
          </w:p>
        </w:tc>
        <w:tc>
          <w:tcPr>
            <w:tcW w:w="356" w:type="pct"/>
            <w:shd w:val="clear" w:color="auto" w:fill="auto"/>
          </w:tcPr>
          <w:p w14:paraId="22309D9E" w14:textId="6310B8A8" w:rsidR="009C7BAD" w:rsidRPr="000378EC" w:rsidRDefault="00DB3463"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8</w:t>
            </w:r>
          </w:p>
        </w:tc>
        <w:tc>
          <w:tcPr>
            <w:tcW w:w="1526" w:type="pct"/>
            <w:shd w:val="clear" w:color="auto" w:fill="auto"/>
          </w:tcPr>
          <w:p w14:paraId="3E1B6A19" w14:textId="231849A8" w:rsidR="009C7BAD" w:rsidRPr="00D03DE8" w:rsidRDefault="009C7BAD">
            <w:pPr>
              <w:tabs>
                <w:tab w:val="left" w:pos="180"/>
                <w:tab w:val="left" w:pos="360"/>
              </w:tabs>
              <w:spacing w:after="0" w:line="240" w:lineRule="auto"/>
              <w:ind w:firstLine="6"/>
              <w:jc w:val="both"/>
              <w:rPr>
                <w:rFonts w:ascii="Times New Roman" w:eastAsia="Times New Roman" w:hAnsi="Times New Roman" w:cs="Times New Roman"/>
                <w:bCs/>
                <w:sz w:val="20"/>
                <w:szCs w:val="20"/>
                <w:lang w:val="ro-RO"/>
              </w:rPr>
            </w:pPr>
            <w:r w:rsidRPr="009C7BAD">
              <w:rPr>
                <w:rFonts w:ascii="Times New Roman" w:eastAsia="Times New Roman" w:hAnsi="Times New Roman" w:cs="Times New Roman"/>
                <w:bCs/>
                <w:sz w:val="20"/>
                <w:szCs w:val="20"/>
                <w:lang w:val="ro-MD"/>
              </w:rPr>
              <w:t xml:space="preserve">La </w:t>
            </w:r>
            <w:r w:rsidR="003755F2">
              <w:rPr>
                <w:rFonts w:ascii="Times New Roman" w:eastAsia="Times New Roman" w:hAnsi="Times New Roman" w:cs="Times New Roman"/>
                <w:bCs/>
                <w:sz w:val="20"/>
                <w:szCs w:val="20"/>
                <w:lang w:val="ro-MD"/>
              </w:rPr>
              <w:t xml:space="preserve">subpct. </w:t>
            </w:r>
            <w:r w:rsidRPr="009C7BAD">
              <w:rPr>
                <w:rFonts w:ascii="Times New Roman" w:eastAsia="Times New Roman" w:hAnsi="Times New Roman" w:cs="Times New Roman"/>
                <w:bCs/>
                <w:sz w:val="20"/>
                <w:szCs w:val="20"/>
                <w:lang w:val="ro-MD"/>
              </w:rPr>
              <w:t xml:space="preserve">2) atragem atenția că, </w:t>
            </w:r>
            <w:r w:rsidR="00DB1508" w:rsidRPr="009C7BAD">
              <w:rPr>
                <w:rFonts w:ascii="Times New Roman" w:eastAsia="Times New Roman" w:hAnsi="Times New Roman" w:cs="Times New Roman"/>
                <w:bCs/>
                <w:i/>
                <w:iCs/>
                <w:sz w:val="20"/>
                <w:szCs w:val="20"/>
                <w:lang w:val="ro-MD"/>
              </w:rPr>
              <w:t>Instrucțiunea</w:t>
            </w:r>
            <w:r w:rsidRPr="009C7BAD">
              <w:rPr>
                <w:rFonts w:ascii="Times New Roman" w:eastAsia="Times New Roman" w:hAnsi="Times New Roman" w:cs="Times New Roman"/>
                <w:bCs/>
                <w:i/>
                <w:iCs/>
                <w:sz w:val="20"/>
                <w:szCs w:val="20"/>
                <w:lang w:val="ro-MD"/>
              </w:rPr>
              <w:t xml:space="preserve"> privind notificarea angajamentelor externe</w:t>
            </w:r>
            <w:r w:rsidRPr="009C7BAD">
              <w:rPr>
                <w:rFonts w:ascii="Times New Roman" w:eastAsia="Times New Roman" w:hAnsi="Times New Roman" w:cs="Times New Roman"/>
                <w:bCs/>
                <w:sz w:val="20"/>
                <w:szCs w:val="20"/>
                <w:lang w:val="ro-MD"/>
              </w:rPr>
              <w:t xml:space="preserve">, aprobată prin </w:t>
            </w:r>
            <w:r w:rsidRPr="009C7BAD">
              <w:rPr>
                <w:rFonts w:ascii="Times New Roman" w:eastAsia="Times New Roman" w:hAnsi="Times New Roman" w:cs="Times New Roman"/>
                <w:bCs/>
                <w:i/>
                <w:iCs/>
                <w:sz w:val="20"/>
                <w:szCs w:val="20"/>
                <w:lang w:val="ro-MD"/>
              </w:rPr>
              <w:t xml:space="preserve">Hotărârea Comitetului executiv al Băncii </w:t>
            </w:r>
            <w:r w:rsidR="00DB1508" w:rsidRPr="009C7BAD">
              <w:rPr>
                <w:rFonts w:ascii="Times New Roman" w:eastAsia="Times New Roman" w:hAnsi="Times New Roman" w:cs="Times New Roman"/>
                <w:bCs/>
                <w:i/>
                <w:iCs/>
                <w:sz w:val="20"/>
                <w:szCs w:val="20"/>
                <w:lang w:val="ro-MD"/>
              </w:rPr>
              <w:t>Naționale</w:t>
            </w:r>
            <w:r w:rsidRPr="009C7BAD">
              <w:rPr>
                <w:rFonts w:ascii="Times New Roman" w:eastAsia="Times New Roman" w:hAnsi="Times New Roman" w:cs="Times New Roman"/>
                <w:bCs/>
                <w:i/>
                <w:iCs/>
                <w:sz w:val="20"/>
                <w:szCs w:val="20"/>
                <w:lang w:val="ro-MD"/>
              </w:rPr>
              <w:t xml:space="preserve"> a Moldovei nr. 12/2020 </w:t>
            </w:r>
            <w:r w:rsidRPr="009C7BAD">
              <w:rPr>
                <w:rFonts w:ascii="Times New Roman" w:eastAsia="Times New Roman" w:hAnsi="Times New Roman" w:cs="Times New Roman"/>
                <w:bCs/>
                <w:sz w:val="20"/>
                <w:szCs w:val="20"/>
                <w:lang w:val="ro-MD"/>
              </w:rPr>
              <w:t>nu definește noțiunea „confirmarea BNM”, motiv pentru care se va revizui mențiunea respectivă din proiect.</w:t>
            </w:r>
          </w:p>
        </w:tc>
        <w:tc>
          <w:tcPr>
            <w:tcW w:w="1138" w:type="pct"/>
            <w:shd w:val="clear" w:color="auto" w:fill="auto"/>
          </w:tcPr>
          <w:p w14:paraId="00B7D5DF" w14:textId="69378EDE" w:rsidR="009C7BAD" w:rsidRDefault="00DB1508" w:rsidP="00B770CB">
            <w:pPr>
              <w:tabs>
                <w:tab w:val="left" w:pos="180"/>
                <w:tab w:val="left" w:pos="360"/>
              </w:tabs>
              <w:spacing w:after="0" w:line="240" w:lineRule="auto"/>
              <w:ind w:firstLine="6"/>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t>Nu se acceptă</w:t>
            </w:r>
          </w:p>
          <w:p w14:paraId="3CC227A9" w14:textId="5BB015DD" w:rsidR="00DB1508" w:rsidRPr="00DB1508" w:rsidRDefault="004A7F8A" w:rsidP="00B770CB">
            <w:pPr>
              <w:tabs>
                <w:tab w:val="left" w:pos="180"/>
                <w:tab w:val="left" w:pos="360"/>
              </w:tabs>
              <w:spacing w:after="0" w:line="240" w:lineRule="auto"/>
              <w:ind w:firstLine="6"/>
              <w:jc w:val="both"/>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 xml:space="preserve">Concomitent cu modificarea Regulamentului </w:t>
            </w:r>
            <w:r w:rsidR="00B630D3">
              <w:rPr>
                <w:rFonts w:ascii="Times New Roman" w:eastAsia="Times New Roman" w:hAnsi="Times New Roman" w:cs="Times New Roman"/>
                <w:bCs/>
                <w:sz w:val="20"/>
                <w:szCs w:val="20"/>
                <w:lang w:val="ro-RO"/>
              </w:rPr>
              <w:t>privind condițiile și modul de efectuare a operațiunilor valutare</w:t>
            </w:r>
            <w:r w:rsidR="008D6ECA">
              <w:rPr>
                <w:rFonts w:ascii="Times New Roman" w:eastAsia="Times New Roman" w:hAnsi="Times New Roman" w:cs="Times New Roman"/>
                <w:bCs/>
                <w:sz w:val="20"/>
                <w:szCs w:val="20"/>
                <w:lang w:val="ro-RO"/>
              </w:rPr>
              <w:t>,</w:t>
            </w:r>
            <w:r w:rsidR="00B630D3">
              <w:rPr>
                <w:rFonts w:ascii="Times New Roman" w:eastAsia="Times New Roman" w:hAnsi="Times New Roman" w:cs="Times New Roman"/>
                <w:bCs/>
                <w:sz w:val="20"/>
                <w:szCs w:val="20"/>
                <w:lang w:val="ro-RO"/>
              </w:rPr>
              <w:t xml:space="preserve"> </w:t>
            </w:r>
            <w:r w:rsidR="00DB1508" w:rsidRPr="00DB1508">
              <w:rPr>
                <w:rFonts w:ascii="Times New Roman" w:eastAsia="Times New Roman" w:hAnsi="Times New Roman" w:cs="Times New Roman"/>
                <w:bCs/>
                <w:sz w:val="20"/>
                <w:szCs w:val="20"/>
                <w:lang w:val="ro-RO"/>
              </w:rPr>
              <w:t xml:space="preserve">BNM </w:t>
            </w:r>
            <w:r w:rsidR="00B630D3">
              <w:rPr>
                <w:rFonts w:ascii="Times New Roman" w:eastAsia="Times New Roman" w:hAnsi="Times New Roman" w:cs="Times New Roman"/>
                <w:bCs/>
                <w:sz w:val="20"/>
                <w:szCs w:val="20"/>
                <w:lang w:val="ro-RO"/>
              </w:rPr>
              <w:t xml:space="preserve">a inițiat </w:t>
            </w:r>
            <w:r w:rsidR="008A4591">
              <w:rPr>
                <w:rFonts w:ascii="Times New Roman" w:eastAsia="Times New Roman" w:hAnsi="Times New Roman" w:cs="Times New Roman"/>
                <w:bCs/>
                <w:sz w:val="20"/>
                <w:szCs w:val="20"/>
                <w:lang w:val="ro-RO"/>
              </w:rPr>
              <w:t xml:space="preserve">și modificarea </w:t>
            </w:r>
            <w:r w:rsidR="008A4591" w:rsidRPr="00DA4159">
              <w:rPr>
                <w:rFonts w:ascii="Times New Roman" w:eastAsia="Times New Roman" w:hAnsi="Times New Roman" w:cs="Times New Roman"/>
                <w:bCs/>
                <w:sz w:val="20"/>
                <w:szCs w:val="20"/>
                <w:lang w:val="ro-RO"/>
              </w:rPr>
              <w:t>Instrucțiun</w:t>
            </w:r>
            <w:r w:rsidR="008A4591">
              <w:rPr>
                <w:rFonts w:ascii="Times New Roman" w:eastAsia="Times New Roman" w:hAnsi="Times New Roman" w:cs="Times New Roman"/>
                <w:bCs/>
                <w:sz w:val="20"/>
                <w:szCs w:val="20"/>
                <w:lang w:val="ro-RO"/>
              </w:rPr>
              <w:t>ii</w:t>
            </w:r>
            <w:r w:rsidR="008A4591" w:rsidRPr="00DA4159">
              <w:rPr>
                <w:rFonts w:ascii="Times New Roman" w:eastAsia="Times New Roman" w:hAnsi="Times New Roman" w:cs="Times New Roman"/>
                <w:bCs/>
                <w:sz w:val="20"/>
                <w:szCs w:val="20"/>
                <w:lang w:val="ro-RO"/>
              </w:rPr>
              <w:t xml:space="preserve"> nr.12/2020</w:t>
            </w:r>
            <w:r w:rsidR="008A4591">
              <w:rPr>
                <w:rFonts w:ascii="Times New Roman" w:eastAsia="Times New Roman" w:hAnsi="Times New Roman" w:cs="Times New Roman"/>
                <w:bCs/>
                <w:sz w:val="20"/>
                <w:szCs w:val="20"/>
                <w:lang w:val="ro-RO"/>
              </w:rPr>
              <w:t xml:space="preserve"> </w:t>
            </w:r>
            <w:r w:rsidR="008A4591" w:rsidRPr="00DA4159">
              <w:rPr>
                <w:rFonts w:ascii="Times New Roman" w:eastAsia="Times New Roman" w:hAnsi="Times New Roman" w:cs="Times New Roman"/>
                <w:bCs/>
                <w:sz w:val="20"/>
                <w:szCs w:val="20"/>
                <w:lang w:val="ro-RO"/>
              </w:rPr>
              <w:t>privind notificarea angajamentelor externe</w:t>
            </w:r>
            <w:r w:rsidR="008A4591">
              <w:rPr>
                <w:rFonts w:ascii="Times New Roman" w:eastAsia="Times New Roman" w:hAnsi="Times New Roman" w:cs="Times New Roman"/>
                <w:bCs/>
                <w:sz w:val="20"/>
                <w:szCs w:val="20"/>
                <w:lang w:val="ro-RO"/>
              </w:rPr>
              <w:t xml:space="preserve">, care, în particular, </w:t>
            </w:r>
            <w:r w:rsidR="00DA4159">
              <w:rPr>
                <w:rFonts w:ascii="Times New Roman" w:eastAsia="Times New Roman" w:hAnsi="Times New Roman" w:cs="Times New Roman"/>
                <w:bCs/>
                <w:sz w:val="20"/>
                <w:szCs w:val="20"/>
                <w:lang w:val="ro-RO"/>
              </w:rPr>
              <w:t>defin</w:t>
            </w:r>
            <w:r w:rsidR="00BA2C41">
              <w:rPr>
                <w:rFonts w:ascii="Times New Roman" w:eastAsia="Times New Roman" w:hAnsi="Times New Roman" w:cs="Times New Roman"/>
                <w:bCs/>
                <w:sz w:val="20"/>
                <w:szCs w:val="20"/>
                <w:lang w:val="ro-RO"/>
              </w:rPr>
              <w:t>ește</w:t>
            </w:r>
            <w:r w:rsidR="00DA4159">
              <w:rPr>
                <w:rFonts w:ascii="Times New Roman" w:eastAsia="Times New Roman" w:hAnsi="Times New Roman" w:cs="Times New Roman"/>
                <w:bCs/>
                <w:sz w:val="20"/>
                <w:szCs w:val="20"/>
                <w:lang w:val="ro-RO"/>
              </w:rPr>
              <w:t xml:space="preserve"> </w:t>
            </w:r>
            <w:r w:rsidR="00DA4159" w:rsidRPr="00DA4159">
              <w:rPr>
                <w:rFonts w:ascii="Times New Roman" w:eastAsia="Times New Roman" w:hAnsi="Times New Roman" w:cs="Times New Roman"/>
                <w:bCs/>
                <w:sz w:val="20"/>
                <w:szCs w:val="20"/>
                <w:lang w:val="ro-RO"/>
              </w:rPr>
              <w:t>noțiunea „confirmarea BNM”</w:t>
            </w:r>
            <w:r w:rsidR="00DA4159">
              <w:rPr>
                <w:rFonts w:ascii="Times New Roman" w:eastAsia="Times New Roman" w:hAnsi="Times New Roman" w:cs="Times New Roman"/>
                <w:bCs/>
                <w:sz w:val="20"/>
                <w:szCs w:val="20"/>
                <w:lang w:val="ro-RO"/>
              </w:rPr>
              <w:t>.</w:t>
            </w:r>
            <w:r w:rsidR="00BA2C41">
              <w:rPr>
                <w:rFonts w:ascii="Times New Roman" w:eastAsia="Times New Roman" w:hAnsi="Times New Roman" w:cs="Times New Roman"/>
                <w:bCs/>
                <w:sz w:val="20"/>
                <w:szCs w:val="20"/>
                <w:lang w:val="ro-RO"/>
              </w:rPr>
              <w:t xml:space="preserve"> Modificările la actele normative menționate vor intra în vigoare concomitent</w:t>
            </w:r>
            <w:r w:rsidR="0089251A">
              <w:rPr>
                <w:rFonts w:ascii="Times New Roman" w:eastAsia="Times New Roman" w:hAnsi="Times New Roman" w:cs="Times New Roman"/>
                <w:bCs/>
                <w:sz w:val="20"/>
                <w:szCs w:val="20"/>
                <w:lang w:val="ro-RO"/>
              </w:rPr>
              <w:t>.</w:t>
            </w:r>
          </w:p>
        </w:tc>
      </w:tr>
      <w:tr w:rsidR="00D03DE8" w:rsidRPr="000435CB" w14:paraId="715C84CF" w14:textId="77777777" w:rsidTr="00565AB8">
        <w:tc>
          <w:tcPr>
            <w:tcW w:w="1319" w:type="pct"/>
            <w:shd w:val="clear" w:color="auto" w:fill="auto"/>
          </w:tcPr>
          <w:p w14:paraId="66B9CDF4" w14:textId="04244200" w:rsidR="00F93DC3" w:rsidRPr="00F93DC3" w:rsidRDefault="00F93DC3" w:rsidP="00B770CB">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r w:rsidRPr="00F93DC3">
              <w:rPr>
                <w:rFonts w:ascii="Times New Roman" w:eastAsia="Times New Roman" w:hAnsi="Times New Roman" w:cs="Times New Roman"/>
                <w:sz w:val="20"/>
                <w:szCs w:val="20"/>
                <w:lang w:val="ro-RO" w:eastAsia="ru-RU"/>
              </w:rPr>
              <w:lastRenderedPageBreak/>
              <w:t>4) La punctul 10, textul „bancomatelor, dispozitivelor de comunicaţie electronică, digitale sau informatice, inclusiv terminale de plată în numerar (terminale cash-in)” se substituie cu textul „dispozitiv</w:t>
            </w:r>
            <w:r w:rsidR="001C459F">
              <w:rPr>
                <w:rFonts w:ascii="Times New Roman" w:eastAsia="Times New Roman" w:hAnsi="Times New Roman" w:cs="Times New Roman"/>
                <w:sz w:val="20"/>
                <w:szCs w:val="20"/>
                <w:lang w:val="ro-RO" w:eastAsia="ru-RU"/>
              </w:rPr>
              <w:t>elor</w:t>
            </w:r>
            <w:r w:rsidRPr="00F93DC3">
              <w:rPr>
                <w:rFonts w:ascii="Times New Roman" w:eastAsia="Times New Roman" w:hAnsi="Times New Roman" w:cs="Times New Roman"/>
                <w:sz w:val="20"/>
                <w:szCs w:val="20"/>
                <w:lang w:val="ro-RO" w:eastAsia="ru-RU"/>
              </w:rPr>
              <w:t xml:space="preserve"> care pot fi folosit</w:t>
            </w:r>
            <w:r w:rsidR="001C459F">
              <w:rPr>
                <w:rFonts w:ascii="Times New Roman" w:eastAsia="Times New Roman" w:hAnsi="Times New Roman" w:cs="Times New Roman"/>
                <w:sz w:val="20"/>
                <w:szCs w:val="20"/>
                <w:lang w:val="ro-RO" w:eastAsia="ru-RU"/>
              </w:rPr>
              <w:t>e</w:t>
            </w:r>
            <w:r w:rsidRPr="00F93DC3">
              <w:rPr>
                <w:rFonts w:ascii="Times New Roman" w:eastAsia="Times New Roman" w:hAnsi="Times New Roman" w:cs="Times New Roman"/>
                <w:sz w:val="20"/>
                <w:szCs w:val="20"/>
                <w:lang w:val="ro-RO" w:eastAsia="ru-RU"/>
              </w:rPr>
              <w:t xml:space="preserve"> pentru comunicație la distanță (terminale, telefoane etc.)”;</w:t>
            </w:r>
          </w:p>
          <w:p w14:paraId="30DC75C2" w14:textId="77777777" w:rsidR="00D03DE8" w:rsidRPr="00BA66D1" w:rsidRDefault="00D03DE8" w:rsidP="00B770CB">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p>
        </w:tc>
        <w:tc>
          <w:tcPr>
            <w:tcW w:w="661" w:type="pct"/>
            <w:shd w:val="clear" w:color="auto" w:fill="auto"/>
          </w:tcPr>
          <w:p w14:paraId="149E4FDF" w14:textId="7AE3DA32" w:rsidR="00D03DE8" w:rsidRDefault="00D03DE8" w:rsidP="00B770CB">
            <w:pPr>
              <w:tabs>
                <w:tab w:val="left" w:pos="884"/>
                <w:tab w:val="left" w:pos="1196"/>
              </w:tabs>
              <w:spacing w:after="0" w:line="240" w:lineRule="auto"/>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lastRenderedPageBreak/>
              <w:t>Ministerul Finanțelor</w:t>
            </w:r>
          </w:p>
        </w:tc>
        <w:tc>
          <w:tcPr>
            <w:tcW w:w="356" w:type="pct"/>
            <w:shd w:val="clear" w:color="auto" w:fill="auto"/>
          </w:tcPr>
          <w:p w14:paraId="186AE0ED" w14:textId="1388ED09" w:rsidR="00D03DE8" w:rsidRPr="000378EC" w:rsidRDefault="00DB3463"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9</w:t>
            </w:r>
          </w:p>
        </w:tc>
        <w:tc>
          <w:tcPr>
            <w:tcW w:w="1526" w:type="pct"/>
            <w:shd w:val="clear" w:color="auto" w:fill="auto"/>
          </w:tcPr>
          <w:p w14:paraId="2EED38C6" w14:textId="17E9F618" w:rsidR="00D03DE8" w:rsidRPr="00D03DE8" w:rsidRDefault="00D03DE8" w:rsidP="00B770CB">
            <w:pPr>
              <w:tabs>
                <w:tab w:val="left" w:pos="180"/>
                <w:tab w:val="left" w:pos="360"/>
              </w:tabs>
              <w:spacing w:after="0" w:line="240" w:lineRule="auto"/>
              <w:ind w:firstLine="6"/>
              <w:jc w:val="both"/>
              <w:rPr>
                <w:rFonts w:ascii="Times New Roman" w:eastAsia="Times New Roman" w:hAnsi="Times New Roman" w:cs="Times New Roman"/>
                <w:bCs/>
                <w:sz w:val="20"/>
                <w:szCs w:val="20"/>
                <w:lang w:val="ro-RO"/>
              </w:rPr>
            </w:pPr>
            <w:r w:rsidRPr="00D03DE8">
              <w:rPr>
                <w:rFonts w:ascii="Times New Roman" w:eastAsia="Times New Roman" w:hAnsi="Times New Roman" w:cs="Times New Roman"/>
                <w:bCs/>
                <w:sz w:val="20"/>
                <w:szCs w:val="20"/>
                <w:lang w:val="ro-RO"/>
              </w:rPr>
              <w:t>Întru aducerea în concordanță cu prevederile Regulamentului privind prestarea serviciilor de plată prin intermediul sistemelor automatizate de deservire la distanță, aprobat prin Hotărârea Comitetului executiv al Băncii Naționale a Moldovei nr.62/2017, se consideră oportun:</w:t>
            </w:r>
          </w:p>
          <w:p w14:paraId="57439F71" w14:textId="455B5709" w:rsidR="00D03DE8" w:rsidRDefault="00D03DE8" w:rsidP="00B770CB">
            <w:pPr>
              <w:tabs>
                <w:tab w:val="left" w:pos="180"/>
                <w:tab w:val="left" w:pos="360"/>
              </w:tabs>
              <w:spacing w:after="0" w:line="240" w:lineRule="auto"/>
              <w:ind w:firstLine="6"/>
              <w:jc w:val="both"/>
              <w:rPr>
                <w:rFonts w:ascii="Times New Roman" w:eastAsia="Times New Roman" w:hAnsi="Times New Roman" w:cs="Times New Roman"/>
                <w:bCs/>
                <w:sz w:val="20"/>
                <w:szCs w:val="20"/>
                <w:lang w:val="ro-RO"/>
              </w:rPr>
            </w:pPr>
            <w:r w:rsidRPr="00D03DE8">
              <w:rPr>
                <w:rFonts w:ascii="Times New Roman" w:eastAsia="Times New Roman" w:hAnsi="Times New Roman" w:cs="Times New Roman"/>
                <w:bCs/>
                <w:sz w:val="20"/>
                <w:szCs w:val="20"/>
                <w:lang w:val="ro-RO"/>
              </w:rPr>
              <w:lastRenderedPageBreak/>
              <w:t>a) La subpct.4</w:t>
            </w:r>
            <w:r w:rsidRPr="004F0947">
              <w:rPr>
                <w:rFonts w:ascii="Times New Roman" w:eastAsia="Times New Roman" w:hAnsi="Times New Roman" w:cs="Times New Roman"/>
                <w:bCs/>
                <w:sz w:val="20"/>
                <w:szCs w:val="20"/>
                <w:lang w:val="ro-RO"/>
              </w:rPr>
              <w:t>) textul „dispozitiv care poate fi folosit pentru comunicație la distanță (terminale, telefoane etc.)” să se substituie cu textul „</w:t>
            </w:r>
            <w:bookmarkStart w:id="5" w:name="_Hlk135300181"/>
            <w:r w:rsidRPr="004F0947">
              <w:rPr>
                <w:rFonts w:ascii="Times New Roman" w:eastAsia="Times New Roman" w:hAnsi="Times New Roman" w:cs="Times New Roman"/>
                <w:bCs/>
                <w:sz w:val="20"/>
                <w:szCs w:val="20"/>
                <w:lang w:val="ro-RO"/>
              </w:rPr>
              <w:t>sistemelor automatizate de deservire la</w:t>
            </w:r>
            <w:r w:rsidRPr="00D03DE8">
              <w:rPr>
                <w:rFonts w:ascii="Times New Roman" w:eastAsia="Times New Roman" w:hAnsi="Times New Roman" w:cs="Times New Roman"/>
                <w:bCs/>
                <w:sz w:val="20"/>
                <w:szCs w:val="20"/>
                <w:lang w:val="ro-RO"/>
              </w:rPr>
              <w:t xml:space="preserve"> distanță</w:t>
            </w:r>
            <w:bookmarkEnd w:id="5"/>
            <w:r w:rsidRPr="00D03DE8">
              <w:rPr>
                <w:rFonts w:ascii="Times New Roman" w:eastAsia="Times New Roman" w:hAnsi="Times New Roman" w:cs="Times New Roman"/>
                <w:bCs/>
                <w:sz w:val="20"/>
                <w:szCs w:val="20"/>
                <w:lang w:val="ro-RO"/>
              </w:rPr>
              <w:t>”;</w:t>
            </w:r>
          </w:p>
        </w:tc>
        <w:tc>
          <w:tcPr>
            <w:tcW w:w="1138" w:type="pct"/>
            <w:shd w:val="clear" w:color="auto" w:fill="auto"/>
          </w:tcPr>
          <w:p w14:paraId="57602D98" w14:textId="7E04BC15" w:rsidR="00D03DE8" w:rsidRPr="004F0947" w:rsidRDefault="00195056" w:rsidP="00B770CB">
            <w:pPr>
              <w:tabs>
                <w:tab w:val="left" w:pos="180"/>
                <w:tab w:val="left" w:pos="360"/>
              </w:tabs>
              <w:spacing w:after="0" w:line="240" w:lineRule="auto"/>
              <w:ind w:firstLine="6"/>
              <w:jc w:val="both"/>
              <w:rPr>
                <w:rFonts w:ascii="Times New Roman" w:eastAsia="Times New Roman" w:hAnsi="Times New Roman" w:cs="Times New Roman"/>
                <w:b/>
                <w:sz w:val="20"/>
                <w:szCs w:val="20"/>
                <w:lang w:val="ro-RO"/>
              </w:rPr>
            </w:pPr>
            <w:r w:rsidRPr="004F0947">
              <w:rPr>
                <w:rFonts w:ascii="Times New Roman" w:eastAsia="Times New Roman" w:hAnsi="Times New Roman" w:cs="Times New Roman"/>
                <w:b/>
                <w:sz w:val="20"/>
                <w:szCs w:val="20"/>
                <w:lang w:val="ro-RO"/>
              </w:rPr>
              <w:lastRenderedPageBreak/>
              <w:t>Nu s</w:t>
            </w:r>
            <w:r w:rsidR="00BA64EC" w:rsidRPr="004F0947">
              <w:rPr>
                <w:rFonts w:ascii="Times New Roman" w:eastAsia="Times New Roman" w:hAnsi="Times New Roman" w:cs="Times New Roman"/>
                <w:b/>
                <w:sz w:val="20"/>
                <w:szCs w:val="20"/>
                <w:lang w:val="ro-RO"/>
              </w:rPr>
              <w:t xml:space="preserve">e acceptă </w:t>
            </w:r>
          </w:p>
          <w:p w14:paraId="5D39AEDC" w14:textId="3DAD3174" w:rsidR="00EC47F1" w:rsidRPr="004F0947" w:rsidRDefault="00EC47F1" w:rsidP="00B770CB">
            <w:pPr>
              <w:tabs>
                <w:tab w:val="left" w:pos="180"/>
                <w:tab w:val="left" w:pos="360"/>
              </w:tabs>
              <w:spacing w:after="0" w:line="240" w:lineRule="auto"/>
              <w:ind w:firstLine="6"/>
              <w:jc w:val="both"/>
              <w:rPr>
                <w:rFonts w:ascii="Times New Roman" w:eastAsia="Times New Roman" w:hAnsi="Times New Roman" w:cs="Times New Roman"/>
                <w:sz w:val="20"/>
                <w:szCs w:val="20"/>
                <w:lang w:val="ro-RO"/>
              </w:rPr>
            </w:pPr>
            <w:r w:rsidRPr="000758CA">
              <w:rPr>
                <w:rFonts w:ascii="Times New Roman" w:eastAsia="Times New Roman" w:hAnsi="Times New Roman" w:cs="Times New Roman"/>
                <w:sz w:val="20"/>
                <w:szCs w:val="20"/>
                <w:lang w:val="ro-RO"/>
              </w:rPr>
              <w:t>După revizuirea numerotării (propunerea Ministerului Justiției – pct.4 din prezenta sinteză)</w:t>
            </w:r>
            <w:r w:rsidR="008D6ECA">
              <w:rPr>
                <w:rFonts w:ascii="Times New Roman" w:eastAsia="Times New Roman" w:hAnsi="Times New Roman" w:cs="Times New Roman"/>
                <w:sz w:val="20"/>
                <w:szCs w:val="20"/>
                <w:lang w:val="ro-RO"/>
              </w:rPr>
              <w:t>,</w:t>
            </w:r>
            <w:r w:rsidRPr="000758CA">
              <w:rPr>
                <w:rFonts w:ascii="Times New Roman" w:eastAsia="Times New Roman" w:hAnsi="Times New Roman" w:cs="Times New Roman"/>
                <w:sz w:val="20"/>
                <w:szCs w:val="20"/>
                <w:lang w:val="ro-RO"/>
              </w:rPr>
              <w:t xml:space="preserve"> </w:t>
            </w:r>
            <w:r w:rsidRPr="004F0947">
              <w:rPr>
                <w:rFonts w:ascii="Times New Roman" w:eastAsia="Times New Roman" w:hAnsi="Times New Roman" w:cs="Times New Roman"/>
                <w:sz w:val="20"/>
                <w:szCs w:val="20"/>
                <w:lang w:val="ro-RO"/>
              </w:rPr>
              <w:t>sub</w:t>
            </w:r>
            <w:r w:rsidRPr="000758CA">
              <w:rPr>
                <w:rFonts w:ascii="Times New Roman" w:eastAsia="Times New Roman" w:hAnsi="Times New Roman" w:cs="Times New Roman"/>
                <w:sz w:val="20"/>
                <w:szCs w:val="20"/>
                <w:lang w:val="ro-RO"/>
              </w:rPr>
              <w:t>pct.</w:t>
            </w:r>
            <w:r w:rsidRPr="004F0947">
              <w:rPr>
                <w:rFonts w:ascii="Times New Roman" w:eastAsia="Times New Roman" w:hAnsi="Times New Roman" w:cs="Times New Roman"/>
                <w:sz w:val="20"/>
                <w:szCs w:val="20"/>
                <w:lang w:val="ro-RO"/>
              </w:rPr>
              <w:t>4</w:t>
            </w:r>
            <w:r w:rsidRPr="000758CA">
              <w:rPr>
                <w:rFonts w:ascii="Times New Roman" w:eastAsia="Times New Roman" w:hAnsi="Times New Roman" w:cs="Times New Roman"/>
                <w:sz w:val="20"/>
                <w:szCs w:val="20"/>
                <w:lang w:val="ro-RO"/>
              </w:rPr>
              <w:t>) a fost renumerotat în subpct.</w:t>
            </w:r>
            <w:r w:rsidRPr="004F0947">
              <w:rPr>
                <w:rFonts w:ascii="Times New Roman" w:eastAsia="Times New Roman" w:hAnsi="Times New Roman" w:cs="Times New Roman"/>
                <w:sz w:val="20"/>
                <w:szCs w:val="20"/>
                <w:lang w:val="ro-RO"/>
              </w:rPr>
              <w:t>6</w:t>
            </w:r>
            <w:r w:rsidRPr="000758CA">
              <w:rPr>
                <w:rFonts w:ascii="Times New Roman" w:eastAsia="Times New Roman" w:hAnsi="Times New Roman" w:cs="Times New Roman"/>
                <w:sz w:val="20"/>
                <w:szCs w:val="20"/>
                <w:lang w:val="ro-RO"/>
              </w:rPr>
              <w:t>).</w:t>
            </w:r>
          </w:p>
          <w:p w14:paraId="5848867E" w14:textId="63ECD4AF" w:rsidR="009176C6" w:rsidRPr="000758CA" w:rsidRDefault="00CA3D63">
            <w:pPr>
              <w:tabs>
                <w:tab w:val="left" w:pos="180"/>
                <w:tab w:val="left" w:pos="360"/>
              </w:tabs>
              <w:spacing w:after="0" w:line="240" w:lineRule="auto"/>
              <w:ind w:firstLine="6"/>
              <w:jc w:val="both"/>
              <w:rPr>
                <w:rFonts w:ascii="Times New Roman" w:eastAsia="Times New Roman" w:hAnsi="Times New Roman" w:cs="Times New Roman"/>
                <w:sz w:val="20"/>
                <w:szCs w:val="20"/>
                <w:lang w:val="ro-RO"/>
              </w:rPr>
            </w:pPr>
            <w:r w:rsidRPr="004F0947">
              <w:rPr>
                <w:rFonts w:ascii="Times New Roman" w:eastAsia="Times New Roman" w:hAnsi="Times New Roman" w:cs="Times New Roman"/>
                <w:sz w:val="20"/>
                <w:szCs w:val="20"/>
                <w:lang w:val="ro-RO"/>
              </w:rPr>
              <w:t xml:space="preserve">Prevederile </w:t>
            </w:r>
            <w:r w:rsidRPr="000758CA">
              <w:rPr>
                <w:rFonts w:ascii="Times New Roman" w:eastAsia="Times New Roman" w:hAnsi="Times New Roman" w:cs="Times New Roman"/>
                <w:i/>
                <w:iCs/>
                <w:sz w:val="20"/>
                <w:szCs w:val="20"/>
                <w:lang w:val="ro-RO"/>
              </w:rPr>
              <w:t>Legii nr. 114/2012</w:t>
            </w:r>
            <w:r w:rsidR="00723DE9" w:rsidRPr="000758CA">
              <w:rPr>
                <w:rFonts w:ascii="Times New Roman" w:eastAsia="Times New Roman" w:hAnsi="Times New Roman" w:cs="Times New Roman"/>
                <w:i/>
                <w:iCs/>
                <w:sz w:val="20"/>
                <w:szCs w:val="20"/>
                <w:lang w:val="ro-RO"/>
              </w:rPr>
              <w:t xml:space="preserve"> cu privire la serviciile de plat</w:t>
            </w:r>
            <w:r w:rsidR="00723DE9" w:rsidRPr="000758CA">
              <w:rPr>
                <w:rFonts w:ascii="Times New Roman" w:eastAsia="Times New Roman" w:hAnsi="Times New Roman" w:cs="Times New Roman"/>
                <w:i/>
                <w:iCs/>
                <w:sz w:val="20"/>
                <w:szCs w:val="20"/>
                <w:lang w:val="ro-MD"/>
              </w:rPr>
              <w:t>ă și moned</w:t>
            </w:r>
            <w:r w:rsidR="008D6ECA">
              <w:rPr>
                <w:rFonts w:ascii="Times New Roman" w:eastAsia="Times New Roman" w:hAnsi="Times New Roman" w:cs="Times New Roman"/>
                <w:i/>
                <w:iCs/>
                <w:sz w:val="20"/>
                <w:szCs w:val="20"/>
                <w:lang w:val="ro-MD"/>
              </w:rPr>
              <w:t>a</w:t>
            </w:r>
            <w:r w:rsidR="00723DE9" w:rsidRPr="004F0947">
              <w:rPr>
                <w:rFonts w:ascii="Times New Roman" w:eastAsia="Times New Roman" w:hAnsi="Times New Roman" w:cs="Times New Roman"/>
                <w:sz w:val="20"/>
                <w:szCs w:val="20"/>
                <w:lang w:val="ro-MD"/>
              </w:rPr>
              <w:t xml:space="preserve"> </w:t>
            </w:r>
            <w:r w:rsidR="00723DE9" w:rsidRPr="005C09F2">
              <w:rPr>
                <w:rFonts w:ascii="Times New Roman" w:eastAsia="Times New Roman" w:hAnsi="Times New Roman" w:cs="Times New Roman"/>
                <w:i/>
                <w:iCs/>
                <w:sz w:val="20"/>
                <w:szCs w:val="20"/>
                <w:lang w:val="ro-MD"/>
              </w:rPr>
              <w:lastRenderedPageBreak/>
              <w:t>electronică</w:t>
            </w:r>
            <w:r w:rsidRPr="004F0947">
              <w:rPr>
                <w:rFonts w:ascii="Times New Roman" w:eastAsia="Times New Roman" w:hAnsi="Times New Roman" w:cs="Times New Roman"/>
                <w:sz w:val="20"/>
                <w:szCs w:val="20"/>
                <w:lang w:val="ro-RO"/>
              </w:rPr>
              <w:t xml:space="preserve"> operează cu sintagma „</w:t>
            </w:r>
            <w:r w:rsidRPr="000758CA">
              <w:rPr>
                <w:rFonts w:ascii="Times New Roman" w:eastAsia="Times New Roman" w:hAnsi="Times New Roman" w:cs="Times New Roman"/>
                <w:sz w:val="20"/>
                <w:szCs w:val="20"/>
                <w:lang w:val="ro-RO"/>
              </w:rPr>
              <w:t>dispozitiv care poate fi folosit pentru comunicaţie la distanţă”</w:t>
            </w:r>
            <w:r w:rsidR="00D003CB" w:rsidRPr="004F0947">
              <w:rPr>
                <w:rFonts w:ascii="Times New Roman" w:eastAsia="Times New Roman" w:hAnsi="Times New Roman" w:cs="Times New Roman"/>
                <w:sz w:val="20"/>
                <w:szCs w:val="20"/>
                <w:lang w:val="ro-RO"/>
              </w:rPr>
              <w:t xml:space="preserve"> (de ex</w:t>
            </w:r>
            <w:r w:rsidR="008D6ECA">
              <w:rPr>
                <w:rFonts w:ascii="Times New Roman" w:eastAsia="Times New Roman" w:hAnsi="Times New Roman" w:cs="Times New Roman"/>
                <w:sz w:val="20"/>
                <w:szCs w:val="20"/>
                <w:lang w:val="ro-RO"/>
              </w:rPr>
              <w:t>.</w:t>
            </w:r>
            <w:r w:rsidR="00D003CB" w:rsidRPr="004F0947">
              <w:rPr>
                <w:rFonts w:ascii="Times New Roman" w:eastAsia="Times New Roman" w:hAnsi="Times New Roman" w:cs="Times New Roman"/>
                <w:sz w:val="20"/>
                <w:szCs w:val="20"/>
                <w:lang w:val="ro-RO"/>
              </w:rPr>
              <w:t xml:space="preserve"> în noțiunea „</w:t>
            </w:r>
            <w:r w:rsidR="00D003CB" w:rsidRPr="000758CA">
              <w:rPr>
                <w:rFonts w:ascii="Times New Roman" w:eastAsia="Times New Roman" w:hAnsi="Times New Roman" w:cs="Times New Roman"/>
                <w:sz w:val="20"/>
                <w:szCs w:val="20"/>
                <w:lang w:val="ro-RO"/>
              </w:rPr>
              <w:t>operaţiune de plată iniţiată la distanţă”</w:t>
            </w:r>
            <w:r w:rsidR="00D003CB" w:rsidRPr="004F0947">
              <w:rPr>
                <w:rFonts w:ascii="Times New Roman" w:eastAsia="Times New Roman" w:hAnsi="Times New Roman" w:cs="Times New Roman"/>
                <w:sz w:val="20"/>
                <w:szCs w:val="20"/>
                <w:lang w:val="ro-RO"/>
              </w:rPr>
              <w:t>)</w:t>
            </w:r>
            <w:r w:rsidR="0042704D" w:rsidRPr="004F0947">
              <w:rPr>
                <w:rFonts w:ascii="Times New Roman" w:eastAsia="Times New Roman" w:hAnsi="Times New Roman" w:cs="Times New Roman"/>
                <w:sz w:val="20"/>
                <w:szCs w:val="20"/>
                <w:lang w:val="ro-RO"/>
              </w:rPr>
              <w:t xml:space="preserve"> care</w:t>
            </w:r>
            <w:r w:rsidR="008B5026" w:rsidRPr="004F0947">
              <w:rPr>
                <w:rFonts w:ascii="Times New Roman" w:eastAsia="Times New Roman" w:hAnsi="Times New Roman" w:cs="Times New Roman"/>
                <w:sz w:val="20"/>
                <w:szCs w:val="20"/>
                <w:lang w:val="ro-RO"/>
              </w:rPr>
              <w:t xml:space="preserve"> înlocuiește </w:t>
            </w:r>
            <w:r w:rsidR="00C63175" w:rsidRPr="004F0947">
              <w:rPr>
                <w:rFonts w:ascii="Times New Roman" w:eastAsia="Times New Roman" w:hAnsi="Times New Roman" w:cs="Times New Roman"/>
                <w:sz w:val="20"/>
                <w:szCs w:val="20"/>
                <w:lang w:val="ro-RO"/>
              </w:rPr>
              <w:t>generic</w:t>
            </w:r>
            <w:r w:rsidR="00D003CB" w:rsidRPr="004F0947">
              <w:rPr>
                <w:rFonts w:ascii="Times New Roman" w:eastAsia="Times New Roman" w:hAnsi="Times New Roman" w:cs="Times New Roman"/>
                <w:sz w:val="20"/>
                <w:szCs w:val="20"/>
                <w:lang w:val="ro-RO"/>
              </w:rPr>
              <w:t xml:space="preserve"> </w:t>
            </w:r>
            <w:r w:rsidR="00975DB0" w:rsidRPr="004F0947">
              <w:rPr>
                <w:rFonts w:ascii="Times New Roman" w:eastAsia="Times New Roman" w:hAnsi="Times New Roman" w:cs="Times New Roman"/>
                <w:sz w:val="20"/>
                <w:szCs w:val="20"/>
                <w:lang w:val="ro-RO"/>
              </w:rPr>
              <w:t>sintagma</w:t>
            </w:r>
            <w:r w:rsidR="00C63175" w:rsidRPr="004F0947">
              <w:rPr>
                <w:rFonts w:ascii="Times New Roman" w:eastAsia="Times New Roman" w:hAnsi="Times New Roman" w:cs="Times New Roman"/>
                <w:sz w:val="20"/>
                <w:szCs w:val="20"/>
                <w:lang w:val="ro-RO"/>
              </w:rPr>
              <w:t xml:space="preserve"> „</w:t>
            </w:r>
            <w:r w:rsidR="00C63175" w:rsidRPr="004F0947">
              <w:rPr>
                <w:rFonts w:ascii="Times New Roman" w:eastAsia="Times New Roman" w:hAnsi="Times New Roman" w:cs="Times New Roman"/>
                <w:sz w:val="20"/>
                <w:szCs w:val="20"/>
                <w:lang w:val="ro-RO" w:eastAsia="ru-RU"/>
              </w:rPr>
              <w:t>bancomatele, dispozitivele de comunicaţie electronică, digitale sau informatice, inclusiv terminale de plată în numerar (terminale cash-in)</w:t>
            </w:r>
            <w:r w:rsidR="00D003CB" w:rsidRPr="004F0947">
              <w:rPr>
                <w:rFonts w:ascii="Times New Roman" w:eastAsia="Times New Roman" w:hAnsi="Times New Roman" w:cs="Times New Roman"/>
                <w:sz w:val="20"/>
                <w:szCs w:val="20"/>
                <w:lang w:val="ro-RO" w:eastAsia="ru-RU"/>
              </w:rPr>
              <w:t>”</w:t>
            </w:r>
            <w:r w:rsidR="00C63175" w:rsidRPr="004F0947">
              <w:rPr>
                <w:rFonts w:ascii="Times New Roman" w:eastAsia="Times New Roman" w:hAnsi="Times New Roman" w:cs="Times New Roman"/>
                <w:sz w:val="20"/>
                <w:szCs w:val="20"/>
                <w:lang w:val="ro-RO" w:eastAsia="ru-RU"/>
              </w:rPr>
              <w:t>.</w:t>
            </w:r>
            <w:r w:rsidR="00543F7C" w:rsidRPr="004F0947">
              <w:rPr>
                <w:rFonts w:ascii="Times New Roman" w:eastAsia="Times New Roman" w:hAnsi="Times New Roman" w:cs="Times New Roman"/>
                <w:sz w:val="20"/>
                <w:szCs w:val="20"/>
                <w:lang w:val="ro-RO" w:eastAsia="ru-RU"/>
              </w:rPr>
              <w:t xml:space="preserve"> Definiția respectivă a fost introdusă în Legea nr.114/2012 prin Legea nr.209/2022. Urmare acestor modificări în Legea nr.114/2012</w:t>
            </w:r>
            <w:r w:rsidR="004F0947" w:rsidRPr="004F0947">
              <w:rPr>
                <w:rFonts w:ascii="Times New Roman" w:eastAsia="Times New Roman" w:hAnsi="Times New Roman" w:cs="Times New Roman"/>
                <w:sz w:val="20"/>
                <w:szCs w:val="20"/>
                <w:lang w:val="ro-RO" w:eastAsia="ru-RU"/>
              </w:rPr>
              <w:t>,</w:t>
            </w:r>
            <w:r w:rsidR="00543F7C" w:rsidRPr="004F0947">
              <w:rPr>
                <w:rFonts w:ascii="Times New Roman" w:eastAsia="Times New Roman" w:hAnsi="Times New Roman" w:cs="Times New Roman"/>
                <w:sz w:val="20"/>
                <w:szCs w:val="20"/>
                <w:lang w:val="ro-RO" w:eastAsia="ru-RU"/>
              </w:rPr>
              <w:t xml:space="preserve"> cadrul normativ al BNM se ajustează în mod corespunzător.</w:t>
            </w:r>
          </w:p>
        </w:tc>
      </w:tr>
      <w:tr w:rsidR="00D03DE8" w:rsidRPr="000435CB" w14:paraId="4D25D0F2" w14:textId="77777777" w:rsidTr="00565AB8">
        <w:tc>
          <w:tcPr>
            <w:tcW w:w="1319" w:type="pct"/>
            <w:shd w:val="clear" w:color="auto" w:fill="auto"/>
          </w:tcPr>
          <w:p w14:paraId="247FA057" w14:textId="77777777" w:rsidR="00F93DC3" w:rsidRPr="00F93DC3" w:rsidRDefault="00F93DC3" w:rsidP="00B770CB">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r w:rsidRPr="00F93DC3">
              <w:rPr>
                <w:rFonts w:ascii="Times New Roman" w:eastAsia="Times New Roman" w:hAnsi="Times New Roman" w:cs="Times New Roman"/>
                <w:sz w:val="20"/>
                <w:szCs w:val="20"/>
                <w:lang w:val="ro-RO" w:eastAsia="ru-RU"/>
              </w:rPr>
              <w:lastRenderedPageBreak/>
              <w:t>16) La punctul 117, textul „ , inclusiv terminale de plată în numerar (terminale cash-in)” se exclude;</w:t>
            </w:r>
          </w:p>
          <w:p w14:paraId="017FC23D" w14:textId="77777777" w:rsidR="00D03DE8" w:rsidRPr="00BA66D1" w:rsidRDefault="00D03DE8" w:rsidP="00B770CB">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p>
        </w:tc>
        <w:tc>
          <w:tcPr>
            <w:tcW w:w="661" w:type="pct"/>
            <w:shd w:val="clear" w:color="auto" w:fill="auto"/>
          </w:tcPr>
          <w:p w14:paraId="1D4B4341" w14:textId="50973B8C" w:rsidR="00D03DE8" w:rsidRDefault="00D03DE8" w:rsidP="00B770CB">
            <w:pPr>
              <w:tabs>
                <w:tab w:val="left" w:pos="884"/>
                <w:tab w:val="left" w:pos="1196"/>
              </w:tabs>
              <w:spacing w:after="0" w:line="240" w:lineRule="auto"/>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t>Ministerul Finanțelor</w:t>
            </w:r>
          </w:p>
        </w:tc>
        <w:tc>
          <w:tcPr>
            <w:tcW w:w="356" w:type="pct"/>
            <w:shd w:val="clear" w:color="auto" w:fill="auto"/>
          </w:tcPr>
          <w:p w14:paraId="6B5FC4B7" w14:textId="46335A4D" w:rsidR="00D03DE8" w:rsidRPr="000378EC" w:rsidRDefault="00DB3463"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10</w:t>
            </w:r>
          </w:p>
        </w:tc>
        <w:tc>
          <w:tcPr>
            <w:tcW w:w="1526" w:type="pct"/>
            <w:shd w:val="clear" w:color="auto" w:fill="auto"/>
          </w:tcPr>
          <w:p w14:paraId="5A3D92A1" w14:textId="1EB78197" w:rsidR="00D03DE8" w:rsidRPr="00D03DE8" w:rsidRDefault="00D03DE8" w:rsidP="00B770CB">
            <w:pPr>
              <w:tabs>
                <w:tab w:val="left" w:pos="180"/>
                <w:tab w:val="left" w:pos="360"/>
              </w:tabs>
              <w:spacing w:after="0" w:line="240" w:lineRule="auto"/>
              <w:ind w:firstLine="6"/>
              <w:jc w:val="both"/>
              <w:rPr>
                <w:rFonts w:ascii="Times New Roman" w:eastAsia="Times New Roman" w:hAnsi="Times New Roman" w:cs="Times New Roman"/>
                <w:bCs/>
                <w:sz w:val="20"/>
                <w:szCs w:val="20"/>
                <w:lang w:val="ro-RO"/>
              </w:rPr>
            </w:pPr>
            <w:r w:rsidRPr="00D03DE8">
              <w:rPr>
                <w:rFonts w:ascii="Times New Roman" w:eastAsia="Times New Roman" w:hAnsi="Times New Roman" w:cs="Times New Roman"/>
                <w:bCs/>
                <w:sz w:val="20"/>
                <w:szCs w:val="20"/>
                <w:lang w:val="ro-RO"/>
              </w:rPr>
              <w:t>Întru aducerea în concordanță cu prevederile Regulamentului privind prestarea serviciilor de plată prin intermediul sistemelor automatizate de deservire la distanță, aprobat prin Hotărârea Comitetului executiv al Băncii Naționale a Moldovei nr.62/2017, se consideră oportun:</w:t>
            </w:r>
          </w:p>
          <w:p w14:paraId="7DD80858" w14:textId="77777777" w:rsidR="00D03DE8" w:rsidRPr="00D03DE8" w:rsidRDefault="00D03DE8" w:rsidP="00B770CB">
            <w:pPr>
              <w:tabs>
                <w:tab w:val="left" w:pos="180"/>
                <w:tab w:val="left" w:pos="360"/>
              </w:tabs>
              <w:spacing w:after="0" w:line="240" w:lineRule="auto"/>
              <w:ind w:firstLine="6"/>
              <w:jc w:val="both"/>
              <w:rPr>
                <w:rFonts w:ascii="Times New Roman" w:eastAsia="Times New Roman" w:hAnsi="Times New Roman" w:cs="Times New Roman"/>
                <w:bCs/>
                <w:sz w:val="20"/>
                <w:szCs w:val="20"/>
                <w:lang w:val="ro-RO"/>
              </w:rPr>
            </w:pPr>
            <w:r w:rsidRPr="00D03DE8">
              <w:rPr>
                <w:rFonts w:ascii="Times New Roman" w:eastAsia="Times New Roman" w:hAnsi="Times New Roman" w:cs="Times New Roman"/>
                <w:bCs/>
                <w:sz w:val="20"/>
                <w:szCs w:val="20"/>
                <w:lang w:val="ro-RO"/>
              </w:rPr>
              <w:t>b) Subpct.16) să se expună în următoarea redacție:</w:t>
            </w:r>
          </w:p>
          <w:p w14:paraId="63C51F5D" w14:textId="77777777" w:rsidR="00D03DE8" w:rsidRPr="00D03DE8" w:rsidRDefault="00D03DE8" w:rsidP="00B770CB">
            <w:pPr>
              <w:tabs>
                <w:tab w:val="left" w:pos="180"/>
                <w:tab w:val="left" w:pos="360"/>
              </w:tabs>
              <w:spacing w:after="0" w:line="240" w:lineRule="auto"/>
              <w:ind w:firstLine="6"/>
              <w:jc w:val="both"/>
              <w:rPr>
                <w:rFonts w:ascii="Times New Roman" w:eastAsia="Times New Roman" w:hAnsi="Times New Roman" w:cs="Times New Roman"/>
                <w:bCs/>
                <w:sz w:val="20"/>
                <w:szCs w:val="20"/>
                <w:lang w:val="ro-RO"/>
              </w:rPr>
            </w:pPr>
            <w:r w:rsidRPr="00D03DE8">
              <w:rPr>
                <w:rFonts w:ascii="Times New Roman" w:eastAsia="Times New Roman" w:hAnsi="Times New Roman" w:cs="Times New Roman"/>
                <w:bCs/>
                <w:sz w:val="20"/>
                <w:szCs w:val="20"/>
                <w:lang w:val="ro-RO"/>
              </w:rPr>
              <w:t xml:space="preserve">„ La punctul 117, textul </w:t>
            </w:r>
            <w:bookmarkStart w:id="6" w:name="_Hlk135300805"/>
            <w:r w:rsidRPr="00D03DE8">
              <w:rPr>
                <w:rFonts w:ascii="Times New Roman" w:eastAsia="Times New Roman" w:hAnsi="Times New Roman" w:cs="Times New Roman"/>
                <w:bCs/>
                <w:sz w:val="20"/>
                <w:szCs w:val="20"/>
                <w:lang w:val="ro-RO"/>
              </w:rPr>
              <w:t xml:space="preserve">„bancomatelor, dispozitivelor de comunicație electronică, digitale sau informatice, inclusiv terminale de plată în numerar (terminale </w:t>
            </w:r>
          </w:p>
          <w:p w14:paraId="540A9D59" w14:textId="44753A69" w:rsidR="00D03DE8" w:rsidRDefault="00D03DE8" w:rsidP="00B770CB">
            <w:pPr>
              <w:tabs>
                <w:tab w:val="left" w:pos="180"/>
                <w:tab w:val="left" w:pos="360"/>
              </w:tabs>
              <w:spacing w:after="0" w:line="240" w:lineRule="auto"/>
              <w:ind w:firstLine="6"/>
              <w:jc w:val="both"/>
              <w:rPr>
                <w:rFonts w:ascii="Times New Roman" w:eastAsia="Times New Roman" w:hAnsi="Times New Roman" w:cs="Times New Roman"/>
                <w:bCs/>
                <w:sz w:val="20"/>
                <w:szCs w:val="20"/>
                <w:lang w:val="ro-RO"/>
              </w:rPr>
            </w:pPr>
            <w:r w:rsidRPr="00D03DE8">
              <w:rPr>
                <w:rFonts w:ascii="Times New Roman" w:eastAsia="Times New Roman" w:hAnsi="Times New Roman" w:cs="Times New Roman"/>
                <w:bCs/>
                <w:sz w:val="20"/>
                <w:szCs w:val="20"/>
                <w:lang w:val="ro-RO"/>
              </w:rPr>
              <w:t>cash-in)” se substituie cu textul „sistemelor automatizate de deservire la distanță”</w:t>
            </w:r>
            <w:bookmarkEnd w:id="6"/>
            <w:r w:rsidRPr="00D03DE8">
              <w:rPr>
                <w:rFonts w:ascii="Times New Roman" w:eastAsia="Times New Roman" w:hAnsi="Times New Roman" w:cs="Times New Roman"/>
                <w:bCs/>
                <w:sz w:val="20"/>
                <w:szCs w:val="20"/>
                <w:lang w:val="ro-RO"/>
              </w:rPr>
              <w:t xml:space="preserve">; </w:t>
            </w:r>
          </w:p>
        </w:tc>
        <w:tc>
          <w:tcPr>
            <w:tcW w:w="1138" w:type="pct"/>
            <w:shd w:val="clear" w:color="auto" w:fill="auto"/>
          </w:tcPr>
          <w:p w14:paraId="2EFCC4C5" w14:textId="0B3C7C6C" w:rsidR="00D03DE8" w:rsidRPr="004F0947" w:rsidRDefault="007D672B" w:rsidP="00B770CB">
            <w:pPr>
              <w:tabs>
                <w:tab w:val="left" w:pos="180"/>
                <w:tab w:val="left" w:pos="360"/>
              </w:tabs>
              <w:spacing w:after="0" w:line="240" w:lineRule="auto"/>
              <w:ind w:firstLine="6"/>
              <w:jc w:val="both"/>
              <w:rPr>
                <w:rFonts w:ascii="Times New Roman" w:eastAsia="Times New Roman" w:hAnsi="Times New Roman" w:cs="Times New Roman"/>
                <w:b/>
                <w:sz w:val="20"/>
                <w:szCs w:val="20"/>
                <w:lang w:val="ro-RO"/>
              </w:rPr>
            </w:pPr>
            <w:r w:rsidRPr="004F0947">
              <w:rPr>
                <w:rFonts w:ascii="Times New Roman" w:eastAsia="Times New Roman" w:hAnsi="Times New Roman" w:cs="Times New Roman"/>
                <w:b/>
                <w:sz w:val="20"/>
                <w:szCs w:val="20"/>
                <w:lang w:val="ro-RO"/>
              </w:rPr>
              <w:t>Nu s</w:t>
            </w:r>
            <w:r w:rsidR="00200615" w:rsidRPr="004F0947">
              <w:rPr>
                <w:rFonts w:ascii="Times New Roman" w:eastAsia="Times New Roman" w:hAnsi="Times New Roman" w:cs="Times New Roman"/>
                <w:b/>
                <w:sz w:val="20"/>
                <w:szCs w:val="20"/>
                <w:lang w:val="ro-RO"/>
              </w:rPr>
              <w:t>e acceptă</w:t>
            </w:r>
          </w:p>
          <w:p w14:paraId="7CFEFFC5" w14:textId="446AD4C5" w:rsidR="00EC47F1" w:rsidRPr="004F0947" w:rsidRDefault="00EC47F1" w:rsidP="00B770CB">
            <w:pPr>
              <w:tabs>
                <w:tab w:val="left" w:pos="180"/>
                <w:tab w:val="left" w:pos="360"/>
              </w:tabs>
              <w:spacing w:after="0" w:line="240" w:lineRule="auto"/>
              <w:ind w:firstLine="6"/>
              <w:jc w:val="both"/>
              <w:rPr>
                <w:rFonts w:ascii="Times New Roman" w:eastAsia="Times New Roman" w:hAnsi="Times New Roman" w:cs="Times New Roman"/>
                <w:bCs/>
                <w:sz w:val="20"/>
                <w:szCs w:val="20"/>
                <w:lang w:val="ro-RO"/>
              </w:rPr>
            </w:pPr>
            <w:r w:rsidRPr="000758CA">
              <w:rPr>
                <w:rFonts w:ascii="Times New Roman" w:eastAsia="Times New Roman" w:hAnsi="Times New Roman" w:cs="Times New Roman"/>
                <w:bCs/>
                <w:sz w:val="20"/>
                <w:szCs w:val="20"/>
                <w:lang w:val="ro-RO"/>
              </w:rPr>
              <w:t>După revizuirea numerotării</w:t>
            </w:r>
            <w:r w:rsidRPr="004F0947">
              <w:rPr>
                <w:rFonts w:ascii="Times New Roman" w:eastAsia="Times New Roman" w:hAnsi="Times New Roman" w:cs="Times New Roman"/>
                <w:bCs/>
                <w:sz w:val="20"/>
                <w:szCs w:val="20"/>
                <w:lang w:val="ro-RO"/>
              </w:rPr>
              <w:t xml:space="preserve"> (propunerea Ministerului Justiției – pct.4 din prezenta sinteză)</w:t>
            </w:r>
            <w:r w:rsidR="008D6ECA">
              <w:rPr>
                <w:rFonts w:ascii="Times New Roman" w:eastAsia="Times New Roman" w:hAnsi="Times New Roman" w:cs="Times New Roman"/>
                <w:bCs/>
                <w:sz w:val="20"/>
                <w:szCs w:val="20"/>
                <w:lang w:val="ro-RO"/>
              </w:rPr>
              <w:t>,</w:t>
            </w:r>
            <w:r w:rsidRPr="004F0947">
              <w:rPr>
                <w:rFonts w:ascii="Times New Roman" w:eastAsia="Times New Roman" w:hAnsi="Times New Roman" w:cs="Times New Roman"/>
                <w:bCs/>
                <w:sz w:val="20"/>
                <w:szCs w:val="20"/>
                <w:lang w:val="ro-RO"/>
              </w:rPr>
              <w:t xml:space="preserve"> </w:t>
            </w:r>
            <w:r w:rsidR="00003CCA" w:rsidRPr="004F0947">
              <w:rPr>
                <w:rFonts w:ascii="Times New Roman" w:eastAsia="Times New Roman" w:hAnsi="Times New Roman" w:cs="Times New Roman"/>
                <w:bCs/>
                <w:sz w:val="20"/>
                <w:szCs w:val="20"/>
                <w:lang w:val="ro-RO"/>
              </w:rPr>
              <w:t>sub</w:t>
            </w:r>
            <w:r w:rsidRPr="004F0947">
              <w:rPr>
                <w:rFonts w:ascii="Times New Roman" w:eastAsia="Times New Roman" w:hAnsi="Times New Roman" w:cs="Times New Roman"/>
                <w:bCs/>
                <w:sz w:val="20"/>
                <w:szCs w:val="20"/>
                <w:lang w:val="ro-RO"/>
              </w:rPr>
              <w:t>pct.16) a fost renumerotat în subpct.18).</w:t>
            </w:r>
          </w:p>
          <w:p w14:paraId="4EE5EABD" w14:textId="32E2E091" w:rsidR="00BF095A" w:rsidRDefault="00975DB0" w:rsidP="00B770CB">
            <w:pPr>
              <w:tabs>
                <w:tab w:val="left" w:pos="180"/>
                <w:tab w:val="left" w:pos="360"/>
              </w:tabs>
              <w:spacing w:after="0" w:line="240" w:lineRule="auto"/>
              <w:ind w:firstLine="6"/>
              <w:jc w:val="both"/>
              <w:rPr>
                <w:rFonts w:ascii="Times New Roman" w:eastAsia="Times New Roman" w:hAnsi="Times New Roman" w:cs="Times New Roman"/>
                <w:bCs/>
                <w:sz w:val="20"/>
                <w:szCs w:val="20"/>
                <w:lang w:val="ro-RO"/>
              </w:rPr>
            </w:pPr>
            <w:r w:rsidRPr="004F0947">
              <w:rPr>
                <w:rFonts w:ascii="Times New Roman" w:eastAsia="Times New Roman" w:hAnsi="Times New Roman" w:cs="Times New Roman"/>
                <w:bCs/>
                <w:sz w:val="20"/>
                <w:szCs w:val="20"/>
                <w:lang w:val="ro-RO"/>
              </w:rPr>
              <w:t xml:space="preserve">A se vedea argumentarea din pct. </w:t>
            </w:r>
            <w:r w:rsidR="0029045E" w:rsidRPr="004F0947">
              <w:rPr>
                <w:rFonts w:ascii="Times New Roman" w:eastAsia="Times New Roman" w:hAnsi="Times New Roman" w:cs="Times New Roman"/>
                <w:bCs/>
                <w:sz w:val="20"/>
                <w:szCs w:val="20"/>
                <w:lang w:val="ro-RO"/>
              </w:rPr>
              <w:t>9</w:t>
            </w:r>
            <w:r w:rsidRPr="004F0947">
              <w:rPr>
                <w:rFonts w:ascii="Times New Roman" w:eastAsia="Times New Roman" w:hAnsi="Times New Roman" w:cs="Times New Roman"/>
                <w:bCs/>
                <w:sz w:val="20"/>
                <w:szCs w:val="20"/>
                <w:lang w:val="ro-RO"/>
              </w:rPr>
              <w:t xml:space="preserve"> din sintez</w:t>
            </w:r>
            <w:r w:rsidR="008D6ECA">
              <w:rPr>
                <w:rFonts w:ascii="Times New Roman" w:eastAsia="Times New Roman" w:hAnsi="Times New Roman" w:cs="Times New Roman"/>
                <w:bCs/>
                <w:sz w:val="20"/>
                <w:szCs w:val="20"/>
                <w:lang w:val="ro-MD"/>
              </w:rPr>
              <w:t>ă</w:t>
            </w:r>
            <w:r w:rsidRPr="004F0947">
              <w:rPr>
                <w:rFonts w:ascii="Times New Roman" w:eastAsia="Times New Roman" w:hAnsi="Times New Roman" w:cs="Times New Roman"/>
                <w:bCs/>
                <w:sz w:val="20"/>
                <w:szCs w:val="20"/>
                <w:lang w:val="ro-RO"/>
              </w:rPr>
              <w:t>.</w:t>
            </w:r>
            <w:r w:rsidR="00BF095A">
              <w:rPr>
                <w:rFonts w:ascii="Times New Roman" w:eastAsia="Times New Roman" w:hAnsi="Times New Roman" w:cs="Times New Roman"/>
                <w:bCs/>
                <w:sz w:val="20"/>
                <w:szCs w:val="20"/>
                <w:lang w:val="ro-RO"/>
              </w:rPr>
              <w:t xml:space="preserve"> </w:t>
            </w:r>
          </w:p>
          <w:p w14:paraId="3643411D" w14:textId="6A34FF0D" w:rsidR="009A4E5D" w:rsidRPr="000758CA" w:rsidRDefault="00BF095A" w:rsidP="00BF095A">
            <w:pPr>
              <w:tabs>
                <w:tab w:val="left" w:pos="180"/>
                <w:tab w:val="left" w:pos="360"/>
              </w:tabs>
              <w:spacing w:after="0" w:line="240" w:lineRule="auto"/>
              <w:ind w:firstLine="6"/>
              <w:jc w:val="both"/>
              <w:rPr>
                <w:rFonts w:ascii="Times New Roman" w:eastAsia="Times New Roman" w:hAnsi="Times New Roman" w:cs="Times New Roman"/>
                <w:bCs/>
                <w:sz w:val="20"/>
                <w:szCs w:val="20"/>
                <w:lang w:val="ro-RO"/>
              </w:rPr>
            </w:pPr>
            <w:r w:rsidRPr="000758CA">
              <w:rPr>
                <w:rFonts w:ascii="Times New Roman" w:eastAsia="Times New Roman" w:hAnsi="Times New Roman" w:cs="Times New Roman"/>
                <w:bCs/>
                <w:sz w:val="20"/>
                <w:szCs w:val="20"/>
                <w:lang w:val="ro-RO"/>
              </w:rPr>
              <w:t>Totodat</w:t>
            </w:r>
            <w:r w:rsidRPr="000758CA">
              <w:rPr>
                <w:rFonts w:ascii="Times New Roman" w:eastAsia="Times New Roman" w:hAnsi="Times New Roman" w:cs="Times New Roman"/>
                <w:bCs/>
                <w:sz w:val="20"/>
                <w:szCs w:val="20"/>
                <w:lang w:val="ro-MD"/>
              </w:rPr>
              <w:t>ă</w:t>
            </w:r>
            <w:r w:rsidR="008D6ECA">
              <w:rPr>
                <w:rFonts w:ascii="Times New Roman" w:eastAsia="Times New Roman" w:hAnsi="Times New Roman" w:cs="Times New Roman"/>
                <w:bCs/>
                <w:sz w:val="20"/>
                <w:szCs w:val="20"/>
                <w:lang w:val="ro-MD"/>
              </w:rPr>
              <w:t>,</w:t>
            </w:r>
            <w:r w:rsidRPr="000758CA">
              <w:rPr>
                <w:rFonts w:ascii="Times New Roman" w:eastAsia="Times New Roman" w:hAnsi="Times New Roman" w:cs="Times New Roman"/>
                <w:bCs/>
                <w:sz w:val="20"/>
                <w:szCs w:val="20"/>
                <w:lang w:val="ro-MD"/>
              </w:rPr>
              <w:t xml:space="preserve"> subp</w:t>
            </w:r>
            <w:r w:rsidRPr="000758CA">
              <w:rPr>
                <w:rFonts w:ascii="Times New Roman" w:eastAsia="Times New Roman" w:hAnsi="Times New Roman" w:cs="Times New Roman"/>
                <w:bCs/>
                <w:sz w:val="20"/>
                <w:szCs w:val="20"/>
                <w:lang w:val="ro-RO"/>
              </w:rPr>
              <w:t>ct.18) din proiectul HCE se expune în următoarea redacție: „18) La punctul 117, textul „bancomatelor, dispozitivelor de comunicație electronică, digitale sau informatice, inclusiv terminale de plată în numerar (terminale cash-in)” se substituie cu textul „</w:t>
            </w:r>
            <w:bookmarkStart w:id="7" w:name="_Hlk148707339"/>
            <w:r w:rsidRPr="000758CA">
              <w:rPr>
                <w:rFonts w:ascii="Times New Roman" w:eastAsia="Times New Roman" w:hAnsi="Times New Roman" w:cs="Times New Roman"/>
                <w:bCs/>
                <w:sz w:val="20"/>
                <w:szCs w:val="20"/>
                <w:lang w:val="ro-RO"/>
              </w:rPr>
              <w:t>dispozitivelor care pot fi folosite pentru comunicație la distanță (terminale, telefoane etc.)</w:t>
            </w:r>
            <w:bookmarkEnd w:id="7"/>
            <w:r w:rsidRPr="000758CA">
              <w:rPr>
                <w:rFonts w:ascii="Times New Roman" w:eastAsia="Times New Roman" w:hAnsi="Times New Roman" w:cs="Times New Roman"/>
                <w:bCs/>
                <w:sz w:val="20"/>
                <w:szCs w:val="20"/>
                <w:lang w:val="ro-RO"/>
              </w:rPr>
              <w:t>”</w:t>
            </w:r>
            <w:r w:rsidR="000758CA" w:rsidRPr="000758CA">
              <w:rPr>
                <w:rFonts w:ascii="Times New Roman" w:eastAsia="Times New Roman" w:hAnsi="Times New Roman" w:cs="Times New Roman"/>
                <w:bCs/>
                <w:sz w:val="20"/>
                <w:szCs w:val="20"/>
                <w:lang w:val="ro-RO"/>
              </w:rPr>
              <w:t>.</w:t>
            </w:r>
          </w:p>
        </w:tc>
      </w:tr>
      <w:tr w:rsidR="00F93DC3" w:rsidRPr="001E3298" w14:paraId="7D060350" w14:textId="77777777" w:rsidTr="00565AB8">
        <w:tc>
          <w:tcPr>
            <w:tcW w:w="1319" w:type="pct"/>
            <w:tcBorders>
              <w:top w:val="single" w:sz="4" w:space="0" w:color="auto"/>
              <w:left w:val="single" w:sz="4" w:space="0" w:color="auto"/>
              <w:bottom w:val="single" w:sz="4" w:space="0" w:color="auto"/>
              <w:right w:val="single" w:sz="4" w:space="0" w:color="auto"/>
            </w:tcBorders>
            <w:shd w:val="clear" w:color="auto" w:fill="auto"/>
          </w:tcPr>
          <w:p w14:paraId="0AA85ECF" w14:textId="77777777" w:rsidR="00F93DC3" w:rsidRPr="00B310E8" w:rsidRDefault="00F93DC3" w:rsidP="00B770CB">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r w:rsidRPr="00B310E8">
              <w:rPr>
                <w:rFonts w:ascii="Times New Roman" w:eastAsia="Times New Roman" w:hAnsi="Times New Roman" w:cs="Times New Roman"/>
                <w:sz w:val="20"/>
                <w:szCs w:val="20"/>
                <w:lang w:val="ro-RO" w:eastAsia="ru-RU"/>
              </w:rPr>
              <w:t>17) Punctul 120, după cuvântul ”traducerile” se completează cu cuvintele ”autorizate ale”, iar textul „ , legalizate notarial” se exclude;</w:t>
            </w:r>
          </w:p>
          <w:p w14:paraId="7849F41A" w14:textId="77777777" w:rsidR="00F93DC3" w:rsidRPr="00BA66D1" w:rsidRDefault="00F93DC3" w:rsidP="00B770CB">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p>
        </w:tc>
        <w:tc>
          <w:tcPr>
            <w:tcW w:w="661" w:type="pct"/>
            <w:tcBorders>
              <w:top w:val="single" w:sz="4" w:space="0" w:color="auto"/>
              <w:left w:val="single" w:sz="4" w:space="0" w:color="auto"/>
              <w:bottom w:val="single" w:sz="4" w:space="0" w:color="auto"/>
              <w:right w:val="single" w:sz="4" w:space="0" w:color="auto"/>
            </w:tcBorders>
            <w:shd w:val="clear" w:color="auto" w:fill="auto"/>
          </w:tcPr>
          <w:p w14:paraId="48267F88" w14:textId="77777777" w:rsidR="00F93DC3" w:rsidRDefault="00F93DC3" w:rsidP="00B770CB">
            <w:pPr>
              <w:tabs>
                <w:tab w:val="left" w:pos="884"/>
                <w:tab w:val="left" w:pos="1196"/>
              </w:tabs>
              <w:spacing w:after="0" w:line="240" w:lineRule="auto"/>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t>Ministerul Finanțelor</w:t>
            </w: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07F76870" w14:textId="3CDCFC7F" w:rsidR="00F93DC3" w:rsidRPr="000378EC" w:rsidRDefault="00DB3463"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11</w:t>
            </w:r>
          </w:p>
        </w:tc>
        <w:tc>
          <w:tcPr>
            <w:tcW w:w="1526" w:type="pct"/>
            <w:tcBorders>
              <w:top w:val="single" w:sz="4" w:space="0" w:color="auto"/>
              <w:left w:val="single" w:sz="4" w:space="0" w:color="auto"/>
              <w:bottom w:val="single" w:sz="4" w:space="0" w:color="auto"/>
              <w:right w:val="single" w:sz="4" w:space="0" w:color="auto"/>
            </w:tcBorders>
            <w:shd w:val="clear" w:color="auto" w:fill="auto"/>
          </w:tcPr>
          <w:p w14:paraId="590B5078" w14:textId="464ACAFD" w:rsidR="00F93DC3" w:rsidRDefault="00F93DC3" w:rsidP="00911643">
            <w:pPr>
              <w:tabs>
                <w:tab w:val="left" w:pos="180"/>
                <w:tab w:val="left" w:pos="360"/>
              </w:tabs>
              <w:spacing w:after="0" w:line="240" w:lineRule="auto"/>
              <w:ind w:firstLine="6"/>
              <w:jc w:val="both"/>
              <w:rPr>
                <w:rFonts w:ascii="Times New Roman" w:eastAsia="Times New Roman" w:hAnsi="Times New Roman" w:cs="Times New Roman"/>
                <w:bCs/>
                <w:sz w:val="20"/>
                <w:szCs w:val="20"/>
                <w:lang w:val="ro-RO"/>
              </w:rPr>
            </w:pPr>
            <w:r w:rsidRPr="00D03DE8">
              <w:rPr>
                <w:rFonts w:ascii="Times New Roman" w:eastAsia="Times New Roman" w:hAnsi="Times New Roman" w:cs="Times New Roman"/>
                <w:bCs/>
                <w:sz w:val="20"/>
                <w:szCs w:val="20"/>
                <w:lang w:val="ro-RO"/>
              </w:rPr>
              <w:t>La subpct.17, cu referire la pct. 120 din Regulament, se propune examinarea oportunității de excludere a prezentării traducerilor autorizate în cazul în care documentele sunt prezentate în limbi de circulație internațională.</w:t>
            </w:r>
          </w:p>
        </w:tc>
        <w:tc>
          <w:tcPr>
            <w:tcW w:w="1138" w:type="pct"/>
            <w:tcBorders>
              <w:top w:val="single" w:sz="4" w:space="0" w:color="auto"/>
              <w:left w:val="single" w:sz="4" w:space="0" w:color="auto"/>
              <w:bottom w:val="single" w:sz="4" w:space="0" w:color="auto"/>
              <w:right w:val="single" w:sz="4" w:space="0" w:color="auto"/>
            </w:tcBorders>
            <w:shd w:val="clear" w:color="auto" w:fill="auto"/>
          </w:tcPr>
          <w:p w14:paraId="1FFE32F3" w14:textId="0FA4FA8C" w:rsidR="00F93DC3" w:rsidRDefault="00511895" w:rsidP="00B770CB">
            <w:pPr>
              <w:tabs>
                <w:tab w:val="left" w:pos="180"/>
                <w:tab w:val="left" w:pos="360"/>
              </w:tabs>
              <w:spacing w:after="0" w:line="240" w:lineRule="auto"/>
              <w:ind w:firstLine="6"/>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t xml:space="preserve">Comentariu </w:t>
            </w:r>
          </w:p>
          <w:p w14:paraId="7F3E2E79" w14:textId="4DECBAF4" w:rsidR="00003CCA" w:rsidRDefault="00003CCA" w:rsidP="00B770CB">
            <w:pPr>
              <w:tabs>
                <w:tab w:val="left" w:pos="180"/>
                <w:tab w:val="left" w:pos="360"/>
              </w:tabs>
              <w:spacing w:after="0" w:line="240" w:lineRule="auto"/>
              <w:ind w:firstLine="6"/>
              <w:jc w:val="both"/>
              <w:rPr>
                <w:rFonts w:ascii="Times New Roman" w:eastAsia="Times New Roman" w:hAnsi="Times New Roman" w:cs="Times New Roman"/>
                <w:bCs/>
                <w:sz w:val="20"/>
                <w:szCs w:val="20"/>
                <w:lang w:val="ro-RO"/>
              </w:rPr>
            </w:pPr>
            <w:r w:rsidRPr="0052352A">
              <w:rPr>
                <w:rFonts w:ascii="Times New Roman" w:eastAsia="Times New Roman" w:hAnsi="Times New Roman" w:cs="Times New Roman"/>
                <w:bCs/>
                <w:sz w:val="20"/>
                <w:szCs w:val="20"/>
                <w:lang w:val="ro-RO"/>
              </w:rPr>
              <w:t>După revizuirea numerotării</w:t>
            </w:r>
            <w:r>
              <w:rPr>
                <w:rFonts w:ascii="Times New Roman" w:eastAsia="Times New Roman" w:hAnsi="Times New Roman" w:cs="Times New Roman"/>
                <w:bCs/>
                <w:sz w:val="20"/>
                <w:szCs w:val="20"/>
                <w:lang w:val="ro-RO"/>
              </w:rPr>
              <w:t xml:space="preserve"> </w:t>
            </w:r>
            <w:r w:rsidRPr="00EC47F1">
              <w:rPr>
                <w:rFonts w:ascii="Times New Roman" w:eastAsia="Times New Roman" w:hAnsi="Times New Roman" w:cs="Times New Roman"/>
                <w:bCs/>
                <w:sz w:val="20"/>
                <w:szCs w:val="20"/>
                <w:lang w:val="ro-RO"/>
              </w:rPr>
              <w:t>(propunerea Ministerului Justiției – pct.4 din prezenta sinteză)</w:t>
            </w:r>
            <w:r w:rsidR="00EF7BC7">
              <w:rPr>
                <w:rFonts w:ascii="Times New Roman" w:eastAsia="Times New Roman" w:hAnsi="Times New Roman" w:cs="Times New Roman"/>
                <w:bCs/>
                <w:sz w:val="20"/>
                <w:szCs w:val="20"/>
                <w:lang w:val="ro-RO"/>
              </w:rPr>
              <w:t>,</w:t>
            </w:r>
            <w:r>
              <w:rPr>
                <w:rFonts w:ascii="Times New Roman" w:eastAsia="Times New Roman" w:hAnsi="Times New Roman" w:cs="Times New Roman"/>
                <w:bCs/>
                <w:sz w:val="20"/>
                <w:szCs w:val="20"/>
                <w:lang w:val="ro-RO"/>
              </w:rPr>
              <w:t xml:space="preserve"> subpct.17) a </w:t>
            </w:r>
            <w:r w:rsidRPr="00EC47F1">
              <w:rPr>
                <w:rFonts w:ascii="Times New Roman" w:eastAsia="Times New Roman" w:hAnsi="Times New Roman" w:cs="Times New Roman"/>
                <w:bCs/>
                <w:sz w:val="20"/>
                <w:szCs w:val="20"/>
                <w:lang w:val="ro-RO"/>
              </w:rPr>
              <w:t>fost renumerotat în subpct</w:t>
            </w:r>
            <w:r>
              <w:rPr>
                <w:rFonts w:ascii="Times New Roman" w:eastAsia="Times New Roman" w:hAnsi="Times New Roman" w:cs="Times New Roman"/>
                <w:bCs/>
                <w:sz w:val="20"/>
                <w:szCs w:val="20"/>
                <w:lang w:val="ro-RO"/>
              </w:rPr>
              <w:t>.19).</w:t>
            </w:r>
          </w:p>
          <w:p w14:paraId="221AE669" w14:textId="3D1A3FD7" w:rsidR="00DA09B3" w:rsidRPr="00511895" w:rsidRDefault="00511895">
            <w:pPr>
              <w:tabs>
                <w:tab w:val="left" w:pos="180"/>
                <w:tab w:val="left" w:pos="360"/>
              </w:tabs>
              <w:spacing w:after="0" w:line="240" w:lineRule="auto"/>
              <w:ind w:firstLine="6"/>
              <w:jc w:val="both"/>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 xml:space="preserve">Prezentarea </w:t>
            </w:r>
            <w:r w:rsidRPr="00511895">
              <w:rPr>
                <w:rFonts w:ascii="Times New Roman" w:eastAsia="Times New Roman" w:hAnsi="Times New Roman" w:cs="Times New Roman"/>
                <w:bCs/>
                <w:sz w:val="20"/>
                <w:szCs w:val="20"/>
                <w:lang w:val="ro-RO"/>
              </w:rPr>
              <w:t>documentel</w:t>
            </w:r>
            <w:r>
              <w:rPr>
                <w:rFonts w:ascii="Times New Roman" w:eastAsia="Times New Roman" w:hAnsi="Times New Roman" w:cs="Times New Roman"/>
                <w:bCs/>
                <w:sz w:val="20"/>
                <w:szCs w:val="20"/>
                <w:lang w:val="ro-RO"/>
              </w:rPr>
              <w:t>or</w:t>
            </w:r>
            <w:r w:rsidRPr="00511895">
              <w:rPr>
                <w:rFonts w:ascii="Times New Roman" w:eastAsia="Times New Roman" w:hAnsi="Times New Roman" w:cs="Times New Roman"/>
                <w:bCs/>
                <w:sz w:val="20"/>
                <w:szCs w:val="20"/>
                <w:lang w:val="ro-RO"/>
              </w:rPr>
              <w:t xml:space="preserve"> perfectate în limbi străine împreună cu traducerile autorizate ale acestora în limba română</w:t>
            </w:r>
            <w:r>
              <w:rPr>
                <w:rFonts w:ascii="Times New Roman" w:eastAsia="Times New Roman" w:hAnsi="Times New Roman" w:cs="Times New Roman"/>
                <w:bCs/>
                <w:sz w:val="20"/>
                <w:szCs w:val="20"/>
                <w:lang w:val="ro-RO"/>
              </w:rPr>
              <w:t xml:space="preserve"> </w:t>
            </w:r>
            <w:r>
              <w:rPr>
                <w:rFonts w:ascii="Times New Roman" w:eastAsia="Times New Roman" w:hAnsi="Times New Roman" w:cs="Times New Roman"/>
                <w:bCs/>
                <w:sz w:val="20"/>
                <w:szCs w:val="20"/>
                <w:lang w:val="ro-RO"/>
              </w:rPr>
              <w:lastRenderedPageBreak/>
              <w:t>este o opțiune lăsată la latitudinea băncii și nu este o obligație impusă de Regulamentul nr.29/2018</w:t>
            </w:r>
            <w:r w:rsidR="00EF7BC7">
              <w:rPr>
                <w:rFonts w:ascii="Times New Roman" w:eastAsia="Times New Roman" w:hAnsi="Times New Roman" w:cs="Times New Roman"/>
                <w:bCs/>
                <w:sz w:val="20"/>
                <w:szCs w:val="20"/>
                <w:lang w:val="ro-RO"/>
              </w:rPr>
              <w:t>,</w:t>
            </w:r>
            <w:r>
              <w:rPr>
                <w:rFonts w:ascii="Times New Roman" w:eastAsia="Times New Roman" w:hAnsi="Times New Roman" w:cs="Times New Roman"/>
                <w:bCs/>
                <w:sz w:val="20"/>
                <w:szCs w:val="20"/>
                <w:lang w:val="ro-RO"/>
              </w:rPr>
              <w:t xml:space="preserve"> în </w:t>
            </w:r>
            <w:r w:rsidR="00EF7BC7">
              <w:rPr>
                <w:rFonts w:ascii="Times New Roman" w:eastAsia="Times New Roman" w:hAnsi="Times New Roman" w:cs="Times New Roman"/>
                <w:bCs/>
                <w:sz w:val="20"/>
                <w:szCs w:val="20"/>
                <w:lang w:val="ro-RO"/>
              </w:rPr>
              <w:t xml:space="preserve">funcție </w:t>
            </w:r>
            <w:r>
              <w:rPr>
                <w:rFonts w:ascii="Times New Roman" w:eastAsia="Times New Roman" w:hAnsi="Times New Roman" w:cs="Times New Roman"/>
                <w:bCs/>
                <w:sz w:val="20"/>
                <w:szCs w:val="20"/>
                <w:lang w:val="ro-RO"/>
              </w:rPr>
              <w:t>de reglementările interne și capacitățile personalului băncii.</w:t>
            </w:r>
          </w:p>
        </w:tc>
      </w:tr>
      <w:tr w:rsidR="000E4143" w:rsidRPr="000435CB" w14:paraId="66296CBC" w14:textId="77777777" w:rsidTr="00321DD3">
        <w:trPr>
          <w:trHeight w:val="1246"/>
        </w:trPr>
        <w:tc>
          <w:tcPr>
            <w:tcW w:w="1319" w:type="pct"/>
            <w:vMerge w:val="restart"/>
            <w:shd w:val="clear" w:color="auto" w:fill="auto"/>
          </w:tcPr>
          <w:p w14:paraId="5074BB8B" w14:textId="1EF042A8" w:rsidR="000E4143" w:rsidRDefault="000E4143" w:rsidP="00B770CB">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r w:rsidRPr="00F93DC3">
              <w:rPr>
                <w:rFonts w:ascii="Times New Roman" w:eastAsia="Times New Roman" w:hAnsi="Times New Roman" w:cs="Times New Roman"/>
                <w:sz w:val="20"/>
                <w:szCs w:val="20"/>
                <w:lang w:val="ro-RO" w:eastAsia="ru-RU"/>
              </w:rPr>
              <w:lastRenderedPageBreak/>
              <w:t>18) La punctul 122</w:t>
            </w:r>
            <w:r w:rsidRPr="00F93DC3">
              <w:rPr>
                <w:rFonts w:ascii="Times New Roman" w:eastAsia="Times New Roman" w:hAnsi="Times New Roman" w:cs="Times New Roman"/>
                <w:sz w:val="20"/>
                <w:szCs w:val="20"/>
                <w:vertAlign w:val="superscript"/>
                <w:lang w:val="ro-RO" w:eastAsia="ru-RU"/>
              </w:rPr>
              <w:t>1</w:t>
            </w:r>
            <w:r w:rsidRPr="00F93DC3">
              <w:rPr>
                <w:rFonts w:ascii="Times New Roman" w:eastAsia="Times New Roman" w:hAnsi="Times New Roman" w:cs="Times New Roman"/>
                <w:sz w:val="20"/>
                <w:szCs w:val="20"/>
                <w:lang w:val="ro-RO" w:eastAsia="ru-RU"/>
              </w:rPr>
              <w:t>, cuvintele „semnătura electronică şi” se exclud;</w:t>
            </w:r>
          </w:p>
          <w:p w14:paraId="0239F449" w14:textId="2FDFEC17" w:rsidR="000E4143" w:rsidRDefault="000E4143" w:rsidP="00B770CB">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p>
          <w:p w14:paraId="5E9660C7" w14:textId="77777777" w:rsidR="000E4143" w:rsidRPr="00EE5225" w:rsidRDefault="000E4143" w:rsidP="00EE5225">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r w:rsidRPr="00EE5225">
              <w:rPr>
                <w:rFonts w:ascii="Times New Roman" w:eastAsia="Times New Roman" w:hAnsi="Times New Roman" w:cs="Times New Roman"/>
                <w:sz w:val="20"/>
                <w:szCs w:val="20"/>
                <w:lang w:val="ro-RO" w:eastAsia="ru-RU"/>
              </w:rPr>
              <w:t>31) Punctele 135 și 136 vor avea următorul cuprins:</w:t>
            </w:r>
          </w:p>
          <w:p w14:paraId="4A0BACE0" w14:textId="0EE9940F" w:rsidR="000E4143" w:rsidRDefault="000E4143" w:rsidP="00EE5225">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r w:rsidRPr="00EE5225">
              <w:rPr>
                <w:rFonts w:ascii="Times New Roman" w:eastAsia="Times New Roman" w:hAnsi="Times New Roman" w:cs="Times New Roman"/>
                <w:sz w:val="20"/>
                <w:szCs w:val="20"/>
                <w:lang w:val="ro-RO" w:eastAsia="ru-RU"/>
              </w:rPr>
              <w:t>„135. În cazul în care la efectuarea operaţiunilor valutare la prestatorul SPR se prezintă notificaţia (după caz, notificaţia modificată) /confirmarea BNM (după caz, confirmarea BNM modificată) și/sau autorizația BNM în formă electronică, prestatorul SPR va ține cont de prevederile legislaţiei privind documentul electronic.</w:t>
            </w:r>
          </w:p>
          <w:p w14:paraId="3CF3ED82" w14:textId="77777777" w:rsidR="000E4143" w:rsidRPr="00EE5225" w:rsidRDefault="000E4143" w:rsidP="00EE5225">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p>
          <w:p w14:paraId="3C70FC48" w14:textId="74EB6FC9" w:rsidR="000E4143" w:rsidRPr="00F93DC3" w:rsidRDefault="000E4143" w:rsidP="00EE5225">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r w:rsidRPr="00EE5225">
              <w:rPr>
                <w:rFonts w:ascii="Times New Roman" w:eastAsia="Times New Roman" w:hAnsi="Times New Roman" w:cs="Times New Roman"/>
                <w:sz w:val="20"/>
                <w:szCs w:val="20"/>
                <w:lang w:val="ro-RO" w:eastAsia="ru-RU"/>
              </w:rPr>
              <w:t>136. Dacă în contul persoanei juridice nerezidente se depun mijloace băneşti în numerar încasate (în cazurile permise de Legea nr.62/ 2008) de la rezident în casa acestei persoane juridice în cadrul operaţiunii valutare supuse autorizării conform legii menţionate, la prestatorul SPR se prezintă autorizaţia BNM eliberată rezidentului.”;</w:t>
            </w:r>
          </w:p>
          <w:p w14:paraId="7A0EBFC8" w14:textId="77777777" w:rsidR="000E4143" w:rsidRPr="00BA66D1" w:rsidRDefault="000E4143" w:rsidP="00B770CB">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p>
        </w:tc>
        <w:tc>
          <w:tcPr>
            <w:tcW w:w="661" w:type="pct"/>
            <w:vMerge w:val="restart"/>
            <w:shd w:val="clear" w:color="auto" w:fill="auto"/>
          </w:tcPr>
          <w:p w14:paraId="22E04A67" w14:textId="54D43F5A" w:rsidR="000E4143" w:rsidRDefault="000E4143" w:rsidP="00B770CB">
            <w:pPr>
              <w:tabs>
                <w:tab w:val="left" w:pos="884"/>
                <w:tab w:val="left" w:pos="1196"/>
              </w:tabs>
              <w:spacing w:after="0" w:line="240" w:lineRule="auto"/>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t>Ministerul Finanțelor</w:t>
            </w:r>
          </w:p>
        </w:tc>
        <w:tc>
          <w:tcPr>
            <w:tcW w:w="356" w:type="pct"/>
            <w:shd w:val="clear" w:color="auto" w:fill="auto"/>
          </w:tcPr>
          <w:p w14:paraId="119316E1" w14:textId="2572D938" w:rsidR="000E4143" w:rsidRPr="000378EC" w:rsidRDefault="000E4143"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12</w:t>
            </w:r>
          </w:p>
        </w:tc>
        <w:tc>
          <w:tcPr>
            <w:tcW w:w="1526" w:type="pct"/>
            <w:shd w:val="clear" w:color="auto" w:fill="auto"/>
          </w:tcPr>
          <w:p w14:paraId="072F17AA" w14:textId="77777777" w:rsidR="000E4143" w:rsidRPr="00D03DE8" w:rsidRDefault="000E4143" w:rsidP="00B770CB">
            <w:pPr>
              <w:tabs>
                <w:tab w:val="left" w:pos="180"/>
                <w:tab w:val="left" w:pos="360"/>
              </w:tabs>
              <w:spacing w:after="0" w:line="240" w:lineRule="auto"/>
              <w:ind w:firstLine="6"/>
              <w:jc w:val="both"/>
              <w:rPr>
                <w:rFonts w:ascii="Times New Roman" w:eastAsia="Times New Roman" w:hAnsi="Times New Roman" w:cs="Times New Roman"/>
                <w:bCs/>
                <w:sz w:val="20"/>
                <w:szCs w:val="20"/>
                <w:lang w:val="ro-RO"/>
              </w:rPr>
            </w:pPr>
            <w:r w:rsidRPr="00D03DE8">
              <w:rPr>
                <w:rFonts w:ascii="Times New Roman" w:eastAsia="Times New Roman" w:hAnsi="Times New Roman" w:cs="Times New Roman"/>
                <w:bCs/>
                <w:sz w:val="20"/>
                <w:szCs w:val="20"/>
                <w:lang w:val="ro-RO"/>
              </w:rPr>
              <w:t>Întru aducerea în concordanță cu prevederile Regulamentului privind prestarea serviciilor de plată prin intermediul sistemelor automatizate de deservire la distanță, aprobat prin Hotărârea Comitetului executiv al Băncii Naționale a Moldovei nr.62/2017, se consideră oportun:</w:t>
            </w:r>
          </w:p>
          <w:p w14:paraId="52E177D3" w14:textId="470C6F51" w:rsidR="000E4143" w:rsidRPr="00D03DE8" w:rsidRDefault="000E4143" w:rsidP="000E4143">
            <w:pPr>
              <w:tabs>
                <w:tab w:val="left" w:pos="180"/>
                <w:tab w:val="left" w:pos="360"/>
              </w:tabs>
              <w:spacing w:after="0" w:line="240" w:lineRule="auto"/>
              <w:ind w:firstLine="6"/>
              <w:jc w:val="both"/>
              <w:rPr>
                <w:rFonts w:ascii="Times New Roman" w:eastAsia="Times New Roman" w:hAnsi="Times New Roman" w:cs="Times New Roman"/>
                <w:bCs/>
                <w:sz w:val="20"/>
                <w:szCs w:val="20"/>
                <w:lang w:val="ro-RO"/>
              </w:rPr>
            </w:pPr>
            <w:r w:rsidRPr="00D03DE8">
              <w:rPr>
                <w:rFonts w:ascii="Times New Roman" w:eastAsia="Times New Roman" w:hAnsi="Times New Roman" w:cs="Times New Roman"/>
                <w:bCs/>
                <w:sz w:val="20"/>
                <w:szCs w:val="20"/>
                <w:lang w:val="ro-RO"/>
              </w:rPr>
              <w:t>La subpct.18) textul „cuvintele „semnătura electronică și” se exclud” să se substituie cu textul „</w:t>
            </w:r>
            <w:bookmarkStart w:id="8" w:name="_Hlk135313583"/>
            <w:r w:rsidRPr="00D03DE8">
              <w:rPr>
                <w:rFonts w:ascii="Times New Roman" w:eastAsia="Times New Roman" w:hAnsi="Times New Roman" w:cs="Times New Roman"/>
                <w:bCs/>
                <w:sz w:val="20"/>
                <w:szCs w:val="20"/>
                <w:lang w:val="ro-RO"/>
              </w:rPr>
              <w:t xml:space="preserve">cuvintele „să țină cont de prevederile legislației privind semnătura electronică și documentul electronic” se substituie cu textul „să respecte prevederile Legii nr.124/2022 privind identificarea electronică și servicii de încredere” </w:t>
            </w:r>
            <w:bookmarkEnd w:id="8"/>
            <w:r w:rsidRPr="00D03DE8">
              <w:rPr>
                <w:rFonts w:ascii="Times New Roman" w:eastAsia="Times New Roman" w:hAnsi="Times New Roman" w:cs="Times New Roman"/>
                <w:bCs/>
                <w:sz w:val="20"/>
                <w:szCs w:val="20"/>
                <w:lang w:val="ro-RO"/>
              </w:rPr>
              <w:t>”;</w:t>
            </w:r>
          </w:p>
        </w:tc>
        <w:tc>
          <w:tcPr>
            <w:tcW w:w="1138" w:type="pct"/>
            <w:vMerge w:val="restart"/>
            <w:shd w:val="clear" w:color="auto" w:fill="auto"/>
          </w:tcPr>
          <w:p w14:paraId="08887475" w14:textId="77777777" w:rsidR="000E4143" w:rsidRPr="00BA66D1" w:rsidRDefault="000E4143" w:rsidP="00B770CB">
            <w:pPr>
              <w:tabs>
                <w:tab w:val="left" w:pos="180"/>
                <w:tab w:val="left" w:pos="360"/>
              </w:tabs>
              <w:spacing w:after="0" w:line="240" w:lineRule="auto"/>
              <w:ind w:firstLine="6"/>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t>Se acceptă</w:t>
            </w:r>
          </w:p>
          <w:p w14:paraId="7A097930" w14:textId="7CCB41EE" w:rsidR="00EF7EFA" w:rsidRDefault="00EF7EFA" w:rsidP="00EF7EFA">
            <w:pPr>
              <w:tabs>
                <w:tab w:val="left" w:pos="180"/>
                <w:tab w:val="left" w:pos="360"/>
              </w:tabs>
              <w:spacing w:after="0" w:line="240" w:lineRule="auto"/>
              <w:ind w:firstLine="6"/>
              <w:jc w:val="both"/>
              <w:rPr>
                <w:rFonts w:ascii="Times New Roman" w:eastAsia="Times New Roman" w:hAnsi="Times New Roman" w:cs="Times New Roman"/>
                <w:bCs/>
                <w:sz w:val="20"/>
                <w:szCs w:val="20"/>
                <w:lang w:val="ro-RO"/>
              </w:rPr>
            </w:pPr>
            <w:r w:rsidRPr="0052352A">
              <w:rPr>
                <w:rFonts w:ascii="Times New Roman" w:eastAsia="Times New Roman" w:hAnsi="Times New Roman" w:cs="Times New Roman"/>
                <w:bCs/>
                <w:sz w:val="20"/>
                <w:szCs w:val="20"/>
                <w:lang w:val="ro-RO"/>
              </w:rPr>
              <w:t>După revizuirea numerotării</w:t>
            </w:r>
            <w:r>
              <w:rPr>
                <w:rFonts w:ascii="Times New Roman" w:eastAsia="Times New Roman" w:hAnsi="Times New Roman" w:cs="Times New Roman"/>
                <w:bCs/>
                <w:sz w:val="20"/>
                <w:szCs w:val="20"/>
                <w:lang w:val="ro-RO"/>
              </w:rPr>
              <w:t xml:space="preserve"> </w:t>
            </w:r>
            <w:r w:rsidRPr="00EC47F1">
              <w:rPr>
                <w:rFonts w:ascii="Times New Roman" w:eastAsia="Times New Roman" w:hAnsi="Times New Roman" w:cs="Times New Roman"/>
                <w:bCs/>
                <w:sz w:val="20"/>
                <w:szCs w:val="20"/>
                <w:lang w:val="ro-RO"/>
              </w:rPr>
              <w:t>(propunerea Ministerului Justiției – pct.4 din prezenta sinteză)</w:t>
            </w:r>
            <w:r w:rsidR="00EF7BC7">
              <w:rPr>
                <w:rFonts w:ascii="Times New Roman" w:eastAsia="Times New Roman" w:hAnsi="Times New Roman" w:cs="Times New Roman"/>
                <w:bCs/>
                <w:sz w:val="20"/>
                <w:szCs w:val="20"/>
                <w:lang w:val="ro-RO"/>
              </w:rPr>
              <w:t>,</w:t>
            </w:r>
            <w:r>
              <w:rPr>
                <w:rFonts w:ascii="Times New Roman" w:eastAsia="Times New Roman" w:hAnsi="Times New Roman" w:cs="Times New Roman"/>
                <w:bCs/>
                <w:sz w:val="20"/>
                <w:szCs w:val="20"/>
                <w:lang w:val="ro-RO"/>
              </w:rPr>
              <w:t xml:space="preserve"> subpct.18) și </w:t>
            </w:r>
            <w:r w:rsidRPr="00E65FC9">
              <w:rPr>
                <w:rFonts w:ascii="Times New Roman" w:eastAsia="Times New Roman" w:hAnsi="Times New Roman" w:cs="Times New Roman"/>
                <w:bCs/>
                <w:sz w:val="20"/>
                <w:szCs w:val="20"/>
                <w:lang w:val="ro-RO"/>
              </w:rPr>
              <w:t>31) au fost renumerotate în subpct.</w:t>
            </w:r>
            <w:r w:rsidR="00D123C1" w:rsidRPr="00E65FC9">
              <w:rPr>
                <w:rFonts w:ascii="Times New Roman" w:eastAsia="Times New Roman" w:hAnsi="Times New Roman" w:cs="Times New Roman"/>
                <w:bCs/>
                <w:sz w:val="20"/>
                <w:szCs w:val="20"/>
                <w:lang w:val="ro-RO"/>
              </w:rPr>
              <w:t xml:space="preserve">21) </w:t>
            </w:r>
            <w:r w:rsidRPr="00E65FC9">
              <w:rPr>
                <w:rFonts w:ascii="Times New Roman" w:eastAsia="Times New Roman" w:hAnsi="Times New Roman" w:cs="Times New Roman"/>
                <w:bCs/>
                <w:sz w:val="20"/>
                <w:szCs w:val="20"/>
                <w:lang w:val="ro-RO"/>
              </w:rPr>
              <w:t xml:space="preserve">și </w:t>
            </w:r>
            <w:r w:rsidR="00D123C1" w:rsidRPr="00E65FC9">
              <w:rPr>
                <w:rFonts w:ascii="Times New Roman" w:eastAsia="Times New Roman" w:hAnsi="Times New Roman" w:cs="Times New Roman"/>
                <w:bCs/>
                <w:sz w:val="20"/>
                <w:szCs w:val="20"/>
                <w:lang w:val="ro-RO"/>
              </w:rPr>
              <w:t xml:space="preserve"> 34)</w:t>
            </w:r>
            <w:r w:rsidRPr="00E65FC9">
              <w:rPr>
                <w:rFonts w:ascii="Times New Roman" w:eastAsia="Times New Roman" w:hAnsi="Times New Roman" w:cs="Times New Roman"/>
                <w:bCs/>
                <w:sz w:val="20"/>
                <w:szCs w:val="20"/>
                <w:lang w:val="ro-RO"/>
              </w:rPr>
              <w:t>.</w:t>
            </w:r>
          </w:p>
          <w:p w14:paraId="2EBEBB6F" w14:textId="7E8850FF" w:rsidR="000E4143" w:rsidRPr="00BA66D1" w:rsidRDefault="000E4143" w:rsidP="00B770CB">
            <w:pPr>
              <w:tabs>
                <w:tab w:val="left" w:pos="180"/>
                <w:tab w:val="left" w:pos="360"/>
              </w:tabs>
              <w:spacing w:after="0" w:line="240" w:lineRule="auto"/>
              <w:ind w:firstLine="6"/>
              <w:jc w:val="both"/>
              <w:rPr>
                <w:rFonts w:ascii="Times New Roman" w:eastAsia="Times New Roman" w:hAnsi="Times New Roman" w:cs="Times New Roman"/>
                <w:b/>
                <w:sz w:val="20"/>
                <w:szCs w:val="20"/>
                <w:lang w:val="ro-RO"/>
              </w:rPr>
            </w:pPr>
          </w:p>
        </w:tc>
      </w:tr>
      <w:tr w:rsidR="000E4143" w:rsidRPr="000435CB" w14:paraId="46311587" w14:textId="77777777" w:rsidTr="00321DD3">
        <w:trPr>
          <w:trHeight w:val="1246"/>
        </w:trPr>
        <w:tc>
          <w:tcPr>
            <w:tcW w:w="1319" w:type="pct"/>
            <w:vMerge/>
            <w:shd w:val="clear" w:color="auto" w:fill="auto"/>
          </w:tcPr>
          <w:p w14:paraId="23843788" w14:textId="77777777" w:rsidR="000E4143" w:rsidRPr="00F93DC3" w:rsidRDefault="000E4143" w:rsidP="00B770CB">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p>
        </w:tc>
        <w:tc>
          <w:tcPr>
            <w:tcW w:w="661" w:type="pct"/>
            <w:vMerge/>
            <w:shd w:val="clear" w:color="auto" w:fill="auto"/>
          </w:tcPr>
          <w:p w14:paraId="225332E0" w14:textId="77777777" w:rsidR="000E4143" w:rsidRDefault="000E4143"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p>
        </w:tc>
        <w:tc>
          <w:tcPr>
            <w:tcW w:w="356" w:type="pct"/>
            <w:shd w:val="clear" w:color="auto" w:fill="auto"/>
          </w:tcPr>
          <w:p w14:paraId="6CD38660" w14:textId="12C26D5F" w:rsidR="000E4143" w:rsidRDefault="000E4143"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13</w:t>
            </w:r>
          </w:p>
        </w:tc>
        <w:tc>
          <w:tcPr>
            <w:tcW w:w="1526" w:type="pct"/>
            <w:shd w:val="clear" w:color="auto" w:fill="auto"/>
          </w:tcPr>
          <w:p w14:paraId="09D70A43" w14:textId="51B17DC0" w:rsidR="000E4143" w:rsidRPr="009C7BAD" w:rsidRDefault="000E4143" w:rsidP="00B770CB">
            <w:pPr>
              <w:tabs>
                <w:tab w:val="left" w:pos="180"/>
                <w:tab w:val="left" w:pos="360"/>
              </w:tabs>
              <w:spacing w:after="0" w:line="240" w:lineRule="auto"/>
              <w:ind w:firstLine="6"/>
              <w:jc w:val="both"/>
              <w:rPr>
                <w:rFonts w:ascii="Times New Roman" w:eastAsia="Times New Roman" w:hAnsi="Times New Roman" w:cs="Times New Roman"/>
                <w:bCs/>
                <w:sz w:val="20"/>
                <w:szCs w:val="20"/>
                <w:lang w:val="ro-MD"/>
              </w:rPr>
            </w:pPr>
            <w:r w:rsidRPr="000E5A84">
              <w:rPr>
                <w:rFonts w:ascii="Times New Roman" w:eastAsia="Times New Roman" w:hAnsi="Times New Roman" w:cs="Times New Roman"/>
                <w:bCs/>
                <w:sz w:val="20"/>
                <w:szCs w:val="20"/>
                <w:lang w:val="ro-RO"/>
              </w:rPr>
              <w:t>La subpct.31), ce ține de expunerea redacției punctului 135, cuvintele „legislației privind documentul electronic” să se substituie cu textul „Legea nr.124/2022 privind identificarea electronică și servicii de încredere”.</w:t>
            </w:r>
          </w:p>
        </w:tc>
        <w:tc>
          <w:tcPr>
            <w:tcW w:w="1138" w:type="pct"/>
            <w:vMerge/>
            <w:shd w:val="clear" w:color="auto" w:fill="auto"/>
          </w:tcPr>
          <w:p w14:paraId="19B169B5" w14:textId="77777777" w:rsidR="000E4143" w:rsidRPr="00BA66D1" w:rsidRDefault="000E4143" w:rsidP="00B770CB">
            <w:pPr>
              <w:tabs>
                <w:tab w:val="left" w:pos="180"/>
                <w:tab w:val="left" w:pos="360"/>
              </w:tabs>
              <w:spacing w:after="0" w:line="240" w:lineRule="auto"/>
              <w:ind w:firstLine="6"/>
              <w:jc w:val="both"/>
              <w:rPr>
                <w:rFonts w:ascii="Times New Roman" w:eastAsia="Times New Roman" w:hAnsi="Times New Roman" w:cs="Times New Roman"/>
                <w:b/>
                <w:sz w:val="20"/>
                <w:szCs w:val="20"/>
                <w:lang w:val="ro-RO"/>
              </w:rPr>
            </w:pPr>
          </w:p>
        </w:tc>
      </w:tr>
      <w:tr w:rsidR="00DA09B3" w:rsidRPr="000435CB" w14:paraId="45DBFECA" w14:textId="77777777" w:rsidTr="00321DD3">
        <w:trPr>
          <w:trHeight w:val="1246"/>
        </w:trPr>
        <w:tc>
          <w:tcPr>
            <w:tcW w:w="1319" w:type="pct"/>
            <w:vMerge/>
            <w:shd w:val="clear" w:color="auto" w:fill="auto"/>
          </w:tcPr>
          <w:p w14:paraId="44A05114" w14:textId="77777777" w:rsidR="00DA09B3" w:rsidRPr="00F93DC3" w:rsidRDefault="00DA09B3" w:rsidP="00B770CB">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p>
        </w:tc>
        <w:tc>
          <w:tcPr>
            <w:tcW w:w="661" w:type="pct"/>
            <w:shd w:val="clear" w:color="auto" w:fill="auto"/>
          </w:tcPr>
          <w:p w14:paraId="55535384" w14:textId="5BCB6FEC" w:rsidR="00DA09B3" w:rsidRDefault="00DA09B3" w:rsidP="00B770CB">
            <w:pPr>
              <w:tabs>
                <w:tab w:val="left" w:pos="884"/>
                <w:tab w:val="left" w:pos="1196"/>
              </w:tabs>
              <w:spacing w:after="0" w:line="240" w:lineRule="auto"/>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eastAsia="ru-RU"/>
              </w:rPr>
              <w:t>Ministerul Justiției</w:t>
            </w:r>
          </w:p>
        </w:tc>
        <w:tc>
          <w:tcPr>
            <w:tcW w:w="356" w:type="pct"/>
            <w:shd w:val="clear" w:color="auto" w:fill="auto"/>
          </w:tcPr>
          <w:p w14:paraId="78B7D454" w14:textId="4E9846D7" w:rsidR="00DA09B3" w:rsidRPr="000378EC" w:rsidRDefault="00DA09B3" w:rsidP="00B770CB">
            <w:pPr>
              <w:tabs>
                <w:tab w:val="left" w:pos="884"/>
                <w:tab w:val="left" w:pos="1196"/>
              </w:tabs>
              <w:spacing w:after="0" w:line="240" w:lineRule="auto"/>
              <w:jc w:val="both"/>
              <w:rPr>
                <w:rFonts w:ascii="Times New Roman" w:eastAsia="Times New Roman" w:hAnsi="Times New Roman" w:cs="Times New Roman"/>
                <w:b/>
                <w:sz w:val="20"/>
                <w:szCs w:val="20"/>
                <w:lang w:val="ro-RO" w:eastAsia="ru-RU"/>
              </w:rPr>
            </w:pPr>
            <w:r>
              <w:rPr>
                <w:rFonts w:ascii="Times New Roman" w:eastAsia="Times New Roman" w:hAnsi="Times New Roman" w:cs="Times New Roman"/>
                <w:b/>
                <w:sz w:val="20"/>
                <w:szCs w:val="20"/>
                <w:lang w:val="ro-RO" w:eastAsia="ru-RU"/>
              </w:rPr>
              <w:t>1</w:t>
            </w:r>
            <w:r w:rsidR="002D2D73">
              <w:rPr>
                <w:rFonts w:ascii="Times New Roman" w:eastAsia="Times New Roman" w:hAnsi="Times New Roman" w:cs="Times New Roman"/>
                <w:b/>
                <w:sz w:val="20"/>
                <w:szCs w:val="20"/>
                <w:lang w:val="ro-RO" w:eastAsia="ru-RU"/>
              </w:rPr>
              <w:t>4</w:t>
            </w:r>
          </w:p>
        </w:tc>
        <w:tc>
          <w:tcPr>
            <w:tcW w:w="1526" w:type="pct"/>
            <w:shd w:val="clear" w:color="auto" w:fill="auto"/>
          </w:tcPr>
          <w:p w14:paraId="3F599181" w14:textId="2F2DEDAF" w:rsidR="00DA09B3" w:rsidRPr="00D03DE8" w:rsidRDefault="00DA09B3">
            <w:pPr>
              <w:tabs>
                <w:tab w:val="left" w:pos="180"/>
                <w:tab w:val="left" w:pos="360"/>
              </w:tabs>
              <w:spacing w:after="0" w:line="240" w:lineRule="auto"/>
              <w:ind w:firstLine="6"/>
              <w:jc w:val="both"/>
              <w:rPr>
                <w:rFonts w:ascii="Times New Roman" w:eastAsia="Times New Roman" w:hAnsi="Times New Roman" w:cs="Times New Roman"/>
                <w:bCs/>
                <w:sz w:val="20"/>
                <w:szCs w:val="20"/>
                <w:lang w:val="ro-RO"/>
              </w:rPr>
            </w:pPr>
            <w:r w:rsidRPr="009C7BAD">
              <w:rPr>
                <w:rFonts w:ascii="Times New Roman" w:eastAsia="Times New Roman" w:hAnsi="Times New Roman" w:cs="Times New Roman"/>
                <w:bCs/>
                <w:sz w:val="20"/>
                <w:szCs w:val="20"/>
                <w:lang w:val="ro-MD"/>
              </w:rPr>
              <w:t xml:space="preserve">În vederea respectării normelor de tehnică legislativă, la amendamentele de la </w:t>
            </w:r>
            <w:r w:rsidR="008D6ECA">
              <w:rPr>
                <w:rFonts w:ascii="Times New Roman" w:eastAsia="Times New Roman" w:hAnsi="Times New Roman" w:cs="Times New Roman"/>
                <w:bCs/>
                <w:sz w:val="20"/>
                <w:szCs w:val="20"/>
                <w:lang w:val="ro-MD"/>
              </w:rPr>
              <w:t>subpct.</w:t>
            </w:r>
            <w:r w:rsidRPr="009C7BAD">
              <w:rPr>
                <w:rFonts w:ascii="Times New Roman" w:eastAsia="Times New Roman" w:hAnsi="Times New Roman" w:cs="Times New Roman"/>
                <w:bCs/>
                <w:sz w:val="20"/>
                <w:szCs w:val="20"/>
                <w:lang w:val="ro-MD"/>
              </w:rPr>
              <w:t>18) și 31), cuvintele „legislației privind documentul electronic” se vor substitui cu textul „</w:t>
            </w:r>
            <w:bookmarkStart w:id="9" w:name="_Hlk135313661"/>
            <w:r w:rsidRPr="009C7BAD">
              <w:rPr>
                <w:rFonts w:ascii="Times New Roman" w:eastAsia="Times New Roman" w:hAnsi="Times New Roman" w:cs="Times New Roman"/>
                <w:bCs/>
                <w:sz w:val="20"/>
                <w:szCs w:val="20"/>
                <w:lang w:val="ro-MD"/>
              </w:rPr>
              <w:t>Legea nr. 124/2022 privind identificarea electronică și serviciile de încredere</w:t>
            </w:r>
            <w:bookmarkEnd w:id="9"/>
            <w:r w:rsidRPr="009C7BAD">
              <w:rPr>
                <w:rFonts w:ascii="Times New Roman" w:eastAsia="Times New Roman" w:hAnsi="Times New Roman" w:cs="Times New Roman"/>
                <w:bCs/>
                <w:sz w:val="20"/>
                <w:szCs w:val="20"/>
                <w:lang w:val="ro-MD"/>
              </w:rPr>
              <w:t>”, având în vedere că acest act normativ stabilește cadrul normativ de bază pentru utilizarea documentelor electronice.</w:t>
            </w:r>
          </w:p>
        </w:tc>
        <w:tc>
          <w:tcPr>
            <w:tcW w:w="1138" w:type="pct"/>
            <w:vMerge/>
            <w:shd w:val="clear" w:color="auto" w:fill="auto"/>
          </w:tcPr>
          <w:p w14:paraId="6A2FC66C" w14:textId="110F06E7" w:rsidR="00DA09B3" w:rsidRPr="00BA66D1" w:rsidRDefault="00DA09B3" w:rsidP="00B770CB">
            <w:pPr>
              <w:tabs>
                <w:tab w:val="left" w:pos="180"/>
                <w:tab w:val="left" w:pos="360"/>
              </w:tabs>
              <w:spacing w:after="0" w:line="240" w:lineRule="auto"/>
              <w:ind w:firstLine="6"/>
              <w:jc w:val="both"/>
              <w:rPr>
                <w:rFonts w:ascii="Times New Roman" w:eastAsia="Times New Roman" w:hAnsi="Times New Roman" w:cs="Times New Roman"/>
                <w:b/>
                <w:sz w:val="20"/>
                <w:szCs w:val="20"/>
                <w:lang w:val="ro-RO"/>
              </w:rPr>
            </w:pPr>
          </w:p>
        </w:tc>
      </w:tr>
      <w:tr w:rsidR="00994F3F" w:rsidRPr="000435CB" w14:paraId="1F8371C6" w14:textId="77777777" w:rsidTr="00565AB8">
        <w:trPr>
          <w:trHeight w:val="1246"/>
        </w:trPr>
        <w:tc>
          <w:tcPr>
            <w:tcW w:w="1319" w:type="pct"/>
            <w:shd w:val="clear" w:color="auto" w:fill="auto"/>
          </w:tcPr>
          <w:p w14:paraId="28256B31" w14:textId="77777777" w:rsidR="00994F3F" w:rsidRPr="00BA66D1" w:rsidRDefault="00994F3F" w:rsidP="00B770CB">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r w:rsidRPr="00BA66D1">
              <w:rPr>
                <w:rFonts w:ascii="Times New Roman" w:eastAsia="Times New Roman" w:hAnsi="Times New Roman" w:cs="Times New Roman"/>
                <w:sz w:val="20"/>
                <w:szCs w:val="20"/>
                <w:lang w:val="ro-RO" w:eastAsia="ru-RU"/>
              </w:rPr>
              <w:t>24) Punctul 130 va avea următorul cuprins:</w:t>
            </w:r>
          </w:p>
          <w:p w14:paraId="3E8DF837" w14:textId="77777777" w:rsidR="00994F3F" w:rsidRPr="00BA66D1" w:rsidRDefault="00994F3F" w:rsidP="00B770CB">
            <w:pPr>
              <w:tabs>
                <w:tab w:val="left" w:pos="884"/>
                <w:tab w:val="left" w:pos="1196"/>
              </w:tabs>
              <w:spacing w:after="0" w:line="240" w:lineRule="auto"/>
              <w:jc w:val="both"/>
              <w:rPr>
                <w:rFonts w:ascii="Times New Roman" w:eastAsia="Times New Roman" w:hAnsi="Times New Roman" w:cs="Times New Roman"/>
                <w:sz w:val="20"/>
                <w:szCs w:val="20"/>
                <w:lang w:val="ro-MD" w:eastAsia="ru-RU"/>
              </w:rPr>
            </w:pPr>
            <w:r w:rsidRPr="00BA66D1">
              <w:rPr>
                <w:rFonts w:ascii="Times New Roman" w:eastAsia="Times New Roman" w:hAnsi="Times New Roman" w:cs="Times New Roman"/>
                <w:sz w:val="20"/>
                <w:szCs w:val="20"/>
                <w:lang w:val="ro-RO" w:eastAsia="ru-RU"/>
              </w:rPr>
              <w:t>”</w:t>
            </w:r>
            <w:r w:rsidRPr="00BA66D1">
              <w:rPr>
                <w:rFonts w:ascii="Times New Roman" w:eastAsia="Times New Roman" w:hAnsi="Times New Roman" w:cs="Times New Roman"/>
                <w:b/>
                <w:bCs/>
                <w:sz w:val="20"/>
                <w:szCs w:val="20"/>
                <w:lang w:val="ro-MD" w:eastAsia="ru-RU"/>
              </w:rPr>
              <w:t>130.</w:t>
            </w:r>
            <w:r w:rsidRPr="00BA66D1">
              <w:rPr>
                <w:rFonts w:ascii="Times New Roman" w:eastAsia="Times New Roman" w:hAnsi="Times New Roman" w:cs="Times New Roman"/>
                <w:sz w:val="20"/>
                <w:szCs w:val="20"/>
                <w:lang w:val="ro-MD" w:eastAsia="ru-RU"/>
              </w:rPr>
              <w:t xml:space="preserve"> La efectuarea plăților și transferurilor în cadrul angajamentelor externe supuse notificării la Banca Națională a Moldovei: </w:t>
            </w:r>
          </w:p>
          <w:p w14:paraId="67781F68" w14:textId="77777777" w:rsidR="00994F3F" w:rsidRPr="00BA66D1" w:rsidRDefault="00994F3F" w:rsidP="00B770CB">
            <w:pPr>
              <w:tabs>
                <w:tab w:val="left" w:pos="884"/>
                <w:tab w:val="left" w:pos="1196"/>
              </w:tabs>
              <w:spacing w:after="0" w:line="240" w:lineRule="auto"/>
              <w:jc w:val="both"/>
              <w:rPr>
                <w:rFonts w:ascii="Times New Roman" w:eastAsia="Times New Roman" w:hAnsi="Times New Roman" w:cs="Times New Roman"/>
                <w:sz w:val="20"/>
                <w:szCs w:val="20"/>
                <w:lang w:val="ro-MD" w:eastAsia="ru-RU"/>
              </w:rPr>
            </w:pPr>
            <w:r w:rsidRPr="00BA66D1">
              <w:rPr>
                <w:rFonts w:ascii="Times New Roman" w:eastAsia="Times New Roman" w:hAnsi="Times New Roman" w:cs="Times New Roman"/>
                <w:sz w:val="20"/>
                <w:szCs w:val="20"/>
                <w:lang w:val="ro-MD" w:eastAsia="ru-RU"/>
              </w:rPr>
              <w:t xml:space="preserve">a) pentru angajamentele externe notificate și luate la evidență de către BNM până la 19 iulie 2023 (inclusiv), rezidentul este obligat să prezinte prestatorului SPR notificația (după caz, notificația modificată), care poartă înscrierea privind luarea la evidență de către Banca Națională a Moldovei a angajamentului </w:t>
            </w:r>
            <w:r w:rsidRPr="00BA66D1">
              <w:rPr>
                <w:rFonts w:ascii="Times New Roman" w:eastAsia="Times New Roman" w:hAnsi="Times New Roman" w:cs="Times New Roman"/>
                <w:sz w:val="20"/>
                <w:szCs w:val="20"/>
                <w:lang w:val="ro-MD" w:eastAsia="ru-RU"/>
              </w:rPr>
              <w:lastRenderedPageBreak/>
              <w:t>extern. În cazul prezentării de către rezident a notificației (după caz, notificației modificate) pe suport hârtie, notificația în cauză va conține semnătura olografă a rezidentului, precum și semnătura olografă a persoanei responsabile a Băncii Naționale a Moldovei și ștampila Băncii Naționale a Moldovei.</w:t>
            </w:r>
          </w:p>
          <w:p w14:paraId="0659D94A" w14:textId="77777777" w:rsidR="00994F3F" w:rsidRPr="00BA66D1" w:rsidRDefault="00994F3F" w:rsidP="00B770CB">
            <w:pPr>
              <w:tabs>
                <w:tab w:val="left" w:pos="884"/>
                <w:tab w:val="left" w:pos="1196"/>
              </w:tabs>
              <w:spacing w:after="0" w:line="240" w:lineRule="auto"/>
              <w:jc w:val="both"/>
              <w:rPr>
                <w:rFonts w:ascii="Times New Roman" w:eastAsia="Times New Roman" w:hAnsi="Times New Roman" w:cs="Times New Roman"/>
                <w:sz w:val="20"/>
                <w:szCs w:val="20"/>
                <w:lang w:val="ro-MD" w:eastAsia="ru-RU"/>
              </w:rPr>
            </w:pPr>
            <w:r w:rsidRPr="00BA66D1">
              <w:rPr>
                <w:rFonts w:ascii="Times New Roman" w:eastAsia="Times New Roman" w:hAnsi="Times New Roman" w:cs="Times New Roman"/>
                <w:sz w:val="20"/>
                <w:szCs w:val="20"/>
                <w:lang w:val="ro-MD" w:eastAsia="ru-RU"/>
              </w:rPr>
              <w:t>Notificațiile, după caz, notificațiile modificate (pe suport hârtie sau în formă electronică) aferente angajamentelor externe luate la evidență până la data de 19 iulie 2023 (inclusiv) pot fi utilizate de către rezidenți la efectuarea plăților și transferurilor până la stingerea obligațiilor aferente angajamentelor externe luate la evidență, dacă nu au survenit modificări aferente angajamentelor externe în cauză, cu luarea în considerare a pct.68</w:t>
            </w:r>
            <w:r w:rsidRPr="00BA66D1">
              <w:rPr>
                <w:rFonts w:ascii="Times New Roman" w:eastAsia="Times New Roman" w:hAnsi="Times New Roman" w:cs="Times New Roman"/>
                <w:sz w:val="20"/>
                <w:szCs w:val="20"/>
                <w:vertAlign w:val="superscript"/>
                <w:lang w:val="ro-MD" w:eastAsia="ru-RU"/>
              </w:rPr>
              <w:t>2</w:t>
            </w:r>
            <w:r w:rsidRPr="00BA66D1">
              <w:rPr>
                <w:rFonts w:ascii="Times New Roman" w:eastAsia="Times New Roman" w:hAnsi="Times New Roman" w:cs="Times New Roman"/>
                <w:sz w:val="20"/>
                <w:szCs w:val="20"/>
                <w:lang w:val="ro-MD" w:eastAsia="ru-RU"/>
              </w:rPr>
              <w:t xml:space="preserve"> din Instrucțiunea privind notificarea angajamentelor externe;</w:t>
            </w:r>
          </w:p>
          <w:p w14:paraId="30AF9E4C" w14:textId="32BF9DBA" w:rsidR="00994F3F" w:rsidRPr="004C4996" w:rsidRDefault="00994F3F" w:rsidP="00963D84">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r w:rsidRPr="00BA66D1">
              <w:rPr>
                <w:rFonts w:ascii="Times New Roman" w:eastAsia="Times New Roman" w:hAnsi="Times New Roman" w:cs="Times New Roman"/>
                <w:sz w:val="20"/>
                <w:szCs w:val="20"/>
                <w:lang w:val="ro-MD" w:eastAsia="ru-RU"/>
              </w:rPr>
              <w:t>b) pentru celelalte angajamente externe, rezidentul este obligat să prezinte prestatorului SPR confirmarea BNM (după caz, confirmarea BNM modificată), care poartă numărul de evidență a angajamentului extern, precum și data luării la evidență de către Banca Națională a Moldovei a angajamentului extern, conform pct.29 din Instrucțiunea privind notificarea angajamentelor externe.”;</w:t>
            </w:r>
          </w:p>
        </w:tc>
        <w:tc>
          <w:tcPr>
            <w:tcW w:w="661" w:type="pct"/>
            <w:tcBorders>
              <w:top w:val="single" w:sz="4" w:space="0" w:color="auto"/>
              <w:left w:val="single" w:sz="4" w:space="0" w:color="auto"/>
              <w:bottom w:val="single" w:sz="4" w:space="0" w:color="auto"/>
              <w:right w:val="single" w:sz="4" w:space="0" w:color="auto"/>
            </w:tcBorders>
            <w:shd w:val="clear" w:color="auto" w:fill="auto"/>
          </w:tcPr>
          <w:p w14:paraId="5C589955" w14:textId="77777777" w:rsidR="00994F3F" w:rsidRPr="00994F3F" w:rsidRDefault="00994F3F" w:rsidP="00B770CB">
            <w:pPr>
              <w:tabs>
                <w:tab w:val="left" w:pos="884"/>
                <w:tab w:val="left" w:pos="1196"/>
              </w:tabs>
              <w:spacing w:after="0" w:line="240" w:lineRule="auto"/>
              <w:jc w:val="both"/>
              <w:rPr>
                <w:rFonts w:ascii="Times New Roman" w:eastAsia="Times New Roman" w:hAnsi="Times New Roman" w:cs="Times New Roman"/>
                <w:b/>
                <w:bCs/>
                <w:sz w:val="20"/>
                <w:szCs w:val="20"/>
                <w:lang w:val="ro-RO" w:eastAsia="ru-RU"/>
              </w:rPr>
            </w:pPr>
            <w:r w:rsidRPr="00994F3F">
              <w:rPr>
                <w:rFonts w:ascii="Times New Roman" w:eastAsia="Times New Roman" w:hAnsi="Times New Roman" w:cs="Times New Roman"/>
                <w:b/>
                <w:bCs/>
                <w:sz w:val="20"/>
                <w:szCs w:val="20"/>
                <w:lang w:val="ro-RO" w:eastAsia="ru-RU"/>
              </w:rPr>
              <w:lastRenderedPageBreak/>
              <w:t>ÎS Poșta Moldovei</w:t>
            </w:r>
          </w:p>
        </w:tc>
        <w:tc>
          <w:tcPr>
            <w:tcW w:w="356" w:type="pct"/>
            <w:tcBorders>
              <w:top w:val="single" w:sz="4" w:space="0" w:color="auto"/>
              <w:left w:val="single" w:sz="4" w:space="0" w:color="auto"/>
              <w:bottom w:val="single" w:sz="4" w:space="0" w:color="auto"/>
              <w:right w:val="single" w:sz="4" w:space="0" w:color="auto"/>
            </w:tcBorders>
            <w:shd w:val="clear" w:color="auto" w:fill="auto"/>
          </w:tcPr>
          <w:p w14:paraId="4DFF35E8" w14:textId="42E277DA" w:rsidR="00994F3F" w:rsidRPr="000378EC" w:rsidRDefault="00994F3F" w:rsidP="00B770CB">
            <w:pPr>
              <w:tabs>
                <w:tab w:val="left" w:pos="884"/>
                <w:tab w:val="left" w:pos="1196"/>
              </w:tabs>
              <w:spacing w:after="0" w:line="240" w:lineRule="auto"/>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t>1</w:t>
            </w:r>
            <w:r w:rsidR="002D2D73">
              <w:rPr>
                <w:rFonts w:ascii="Times New Roman" w:eastAsia="Times New Roman" w:hAnsi="Times New Roman" w:cs="Times New Roman"/>
                <w:b/>
                <w:sz w:val="20"/>
                <w:szCs w:val="20"/>
                <w:lang w:val="ro-RO"/>
              </w:rPr>
              <w:t>5</w:t>
            </w:r>
          </w:p>
        </w:tc>
        <w:tc>
          <w:tcPr>
            <w:tcW w:w="1526" w:type="pct"/>
            <w:tcBorders>
              <w:top w:val="single" w:sz="4" w:space="0" w:color="auto"/>
              <w:left w:val="single" w:sz="4" w:space="0" w:color="auto"/>
              <w:bottom w:val="single" w:sz="4" w:space="0" w:color="auto"/>
              <w:right w:val="single" w:sz="4" w:space="0" w:color="auto"/>
            </w:tcBorders>
            <w:shd w:val="clear" w:color="auto" w:fill="auto"/>
          </w:tcPr>
          <w:p w14:paraId="52C3F1ED" w14:textId="77777777" w:rsidR="00994F3F" w:rsidRPr="00994F3F" w:rsidRDefault="00994F3F" w:rsidP="00B770CB">
            <w:pPr>
              <w:tabs>
                <w:tab w:val="left" w:pos="180"/>
                <w:tab w:val="left" w:pos="360"/>
              </w:tabs>
              <w:spacing w:after="0" w:line="240" w:lineRule="auto"/>
              <w:ind w:firstLine="6"/>
              <w:jc w:val="both"/>
              <w:rPr>
                <w:rFonts w:ascii="Times New Roman" w:eastAsia="Times New Roman" w:hAnsi="Times New Roman" w:cs="Times New Roman"/>
                <w:bCs/>
                <w:sz w:val="20"/>
                <w:szCs w:val="20"/>
                <w:lang w:val="ro-MD"/>
              </w:rPr>
            </w:pPr>
            <w:r w:rsidRPr="00994F3F">
              <w:rPr>
                <w:rFonts w:ascii="Times New Roman" w:eastAsia="Times New Roman" w:hAnsi="Times New Roman" w:cs="Times New Roman"/>
                <w:bCs/>
                <w:sz w:val="20"/>
                <w:szCs w:val="20"/>
                <w:lang w:val="ro-MD"/>
              </w:rPr>
              <w:t>La pct.24) din proiect sintagma „Banca Națională a Moldovei”, la orice formă gramaticală, de substituit cu acronimul BNM, așa cum e stipulat la punctul 5 al Regulamentului nr.29/2018, care se modifică.</w:t>
            </w:r>
          </w:p>
        </w:tc>
        <w:tc>
          <w:tcPr>
            <w:tcW w:w="1138" w:type="pct"/>
            <w:tcBorders>
              <w:top w:val="single" w:sz="4" w:space="0" w:color="auto"/>
              <w:left w:val="single" w:sz="4" w:space="0" w:color="auto"/>
              <w:bottom w:val="single" w:sz="4" w:space="0" w:color="auto"/>
              <w:right w:val="single" w:sz="4" w:space="0" w:color="auto"/>
            </w:tcBorders>
            <w:shd w:val="clear" w:color="auto" w:fill="auto"/>
          </w:tcPr>
          <w:p w14:paraId="147BD6D9" w14:textId="77777777" w:rsidR="00994F3F" w:rsidRDefault="00994F3F" w:rsidP="00B770CB">
            <w:pPr>
              <w:tabs>
                <w:tab w:val="left" w:pos="180"/>
                <w:tab w:val="left" w:pos="360"/>
              </w:tabs>
              <w:spacing w:after="0" w:line="240" w:lineRule="auto"/>
              <w:ind w:firstLine="6"/>
              <w:jc w:val="both"/>
              <w:rPr>
                <w:rFonts w:ascii="Times New Roman" w:eastAsia="Times New Roman" w:hAnsi="Times New Roman" w:cs="Times New Roman"/>
                <w:b/>
                <w:sz w:val="20"/>
                <w:szCs w:val="20"/>
                <w:lang w:val="ro-RO"/>
              </w:rPr>
            </w:pPr>
            <w:r w:rsidRPr="00994F3F">
              <w:rPr>
                <w:rFonts w:ascii="Times New Roman" w:eastAsia="Times New Roman" w:hAnsi="Times New Roman" w:cs="Times New Roman"/>
                <w:b/>
                <w:sz w:val="20"/>
                <w:szCs w:val="20"/>
                <w:lang w:val="ro-RO"/>
              </w:rPr>
              <w:t>Se acceptă</w:t>
            </w:r>
          </w:p>
          <w:p w14:paraId="2948470F" w14:textId="36FBA9E3" w:rsidR="00EF7EFA" w:rsidRDefault="00EF7EFA" w:rsidP="00EF7EFA">
            <w:pPr>
              <w:tabs>
                <w:tab w:val="left" w:pos="180"/>
                <w:tab w:val="left" w:pos="360"/>
              </w:tabs>
              <w:spacing w:after="0" w:line="240" w:lineRule="auto"/>
              <w:ind w:firstLine="6"/>
              <w:jc w:val="both"/>
              <w:rPr>
                <w:rFonts w:ascii="Times New Roman" w:eastAsia="Times New Roman" w:hAnsi="Times New Roman" w:cs="Times New Roman"/>
                <w:bCs/>
                <w:sz w:val="20"/>
                <w:szCs w:val="20"/>
                <w:lang w:val="ro-RO"/>
              </w:rPr>
            </w:pPr>
            <w:r w:rsidRPr="0052352A">
              <w:rPr>
                <w:rFonts w:ascii="Times New Roman" w:eastAsia="Times New Roman" w:hAnsi="Times New Roman" w:cs="Times New Roman"/>
                <w:bCs/>
                <w:sz w:val="20"/>
                <w:szCs w:val="20"/>
                <w:lang w:val="ro-RO"/>
              </w:rPr>
              <w:t>După revizuirea numerotării</w:t>
            </w:r>
            <w:r>
              <w:rPr>
                <w:rFonts w:ascii="Times New Roman" w:eastAsia="Times New Roman" w:hAnsi="Times New Roman" w:cs="Times New Roman"/>
                <w:bCs/>
                <w:sz w:val="20"/>
                <w:szCs w:val="20"/>
                <w:lang w:val="ro-RO"/>
              </w:rPr>
              <w:t xml:space="preserve"> </w:t>
            </w:r>
            <w:r w:rsidRPr="00EC47F1">
              <w:rPr>
                <w:rFonts w:ascii="Times New Roman" w:eastAsia="Times New Roman" w:hAnsi="Times New Roman" w:cs="Times New Roman"/>
                <w:bCs/>
                <w:sz w:val="20"/>
                <w:szCs w:val="20"/>
                <w:lang w:val="ro-RO"/>
              </w:rPr>
              <w:t>(propunerea Ministerului Justiției – pct.4 din prezenta sinteză)</w:t>
            </w:r>
            <w:r w:rsidR="00EF7BC7">
              <w:rPr>
                <w:rFonts w:ascii="Times New Roman" w:eastAsia="Times New Roman" w:hAnsi="Times New Roman" w:cs="Times New Roman"/>
                <w:bCs/>
                <w:sz w:val="20"/>
                <w:szCs w:val="20"/>
                <w:lang w:val="ro-RO"/>
              </w:rPr>
              <w:t>,</w:t>
            </w:r>
            <w:r>
              <w:rPr>
                <w:rFonts w:ascii="Times New Roman" w:eastAsia="Times New Roman" w:hAnsi="Times New Roman" w:cs="Times New Roman"/>
                <w:bCs/>
                <w:sz w:val="20"/>
                <w:szCs w:val="20"/>
                <w:lang w:val="ro-RO"/>
              </w:rPr>
              <w:t xml:space="preserve"> subpct.24) a </w:t>
            </w:r>
            <w:r w:rsidRPr="00EC47F1">
              <w:rPr>
                <w:rFonts w:ascii="Times New Roman" w:eastAsia="Times New Roman" w:hAnsi="Times New Roman" w:cs="Times New Roman"/>
                <w:bCs/>
                <w:sz w:val="20"/>
                <w:szCs w:val="20"/>
                <w:lang w:val="ro-RO"/>
              </w:rPr>
              <w:t xml:space="preserve">fost renumerotat în </w:t>
            </w:r>
            <w:r w:rsidRPr="00E65FC9">
              <w:rPr>
                <w:rFonts w:ascii="Times New Roman" w:eastAsia="Times New Roman" w:hAnsi="Times New Roman" w:cs="Times New Roman"/>
                <w:bCs/>
                <w:sz w:val="20"/>
                <w:szCs w:val="20"/>
                <w:lang w:val="ro-RO"/>
              </w:rPr>
              <w:t>subpct.</w:t>
            </w:r>
            <w:r w:rsidR="005D40E6" w:rsidRPr="00E65FC9">
              <w:rPr>
                <w:rFonts w:ascii="Times New Roman" w:eastAsia="Times New Roman" w:hAnsi="Times New Roman" w:cs="Times New Roman"/>
                <w:bCs/>
                <w:sz w:val="20"/>
                <w:szCs w:val="20"/>
                <w:lang w:val="ro-RO"/>
              </w:rPr>
              <w:t>27)</w:t>
            </w:r>
            <w:r w:rsidRPr="00E65FC9">
              <w:rPr>
                <w:rFonts w:ascii="Times New Roman" w:eastAsia="Times New Roman" w:hAnsi="Times New Roman" w:cs="Times New Roman"/>
                <w:bCs/>
                <w:sz w:val="20"/>
                <w:szCs w:val="20"/>
                <w:lang w:val="ro-RO"/>
              </w:rPr>
              <w:t>.</w:t>
            </w:r>
          </w:p>
          <w:p w14:paraId="0E495775" w14:textId="1B96E39C" w:rsidR="00EF7EFA" w:rsidRPr="00E65FC9" w:rsidRDefault="005E3624" w:rsidP="00B770CB">
            <w:pPr>
              <w:tabs>
                <w:tab w:val="left" w:pos="180"/>
                <w:tab w:val="left" w:pos="360"/>
              </w:tabs>
              <w:spacing w:after="0" w:line="240" w:lineRule="auto"/>
              <w:ind w:firstLine="6"/>
              <w:jc w:val="both"/>
              <w:rPr>
                <w:rFonts w:ascii="Times New Roman" w:eastAsia="Times New Roman" w:hAnsi="Times New Roman" w:cs="Times New Roman"/>
                <w:bCs/>
                <w:sz w:val="20"/>
                <w:szCs w:val="20"/>
                <w:lang w:val="ro-MD"/>
              </w:rPr>
            </w:pPr>
            <w:r w:rsidRPr="00E65FC9">
              <w:rPr>
                <w:rFonts w:ascii="Times New Roman" w:eastAsia="Times New Roman" w:hAnsi="Times New Roman" w:cs="Times New Roman"/>
                <w:bCs/>
                <w:sz w:val="20"/>
                <w:szCs w:val="20"/>
                <w:lang w:val="ro-RO"/>
              </w:rPr>
              <w:t>Totodată</w:t>
            </w:r>
            <w:r w:rsidR="00EF7BC7">
              <w:rPr>
                <w:rFonts w:ascii="Times New Roman" w:eastAsia="Times New Roman" w:hAnsi="Times New Roman" w:cs="Times New Roman"/>
                <w:bCs/>
                <w:sz w:val="20"/>
                <w:szCs w:val="20"/>
                <w:lang w:val="ro-RO"/>
              </w:rPr>
              <w:t>,</w:t>
            </w:r>
            <w:r w:rsidRPr="00E65FC9">
              <w:rPr>
                <w:rFonts w:ascii="Times New Roman" w:eastAsia="Times New Roman" w:hAnsi="Times New Roman" w:cs="Times New Roman"/>
                <w:bCs/>
                <w:sz w:val="20"/>
                <w:szCs w:val="20"/>
                <w:lang w:val="ro-RO"/>
              </w:rPr>
              <w:t xml:space="preserve"> </w:t>
            </w:r>
            <w:r w:rsidR="00D86302" w:rsidRPr="00E65FC9">
              <w:rPr>
                <w:rFonts w:ascii="Times New Roman" w:eastAsia="Times New Roman" w:hAnsi="Times New Roman" w:cs="Times New Roman"/>
                <w:bCs/>
                <w:sz w:val="20"/>
                <w:szCs w:val="20"/>
                <w:lang w:val="ro-RO"/>
              </w:rPr>
              <w:t>urmare excluderii definiției noțiunii de „notificație”</w:t>
            </w:r>
            <w:r w:rsidR="00EF7BC7">
              <w:rPr>
                <w:rFonts w:ascii="Times New Roman" w:eastAsia="Times New Roman" w:hAnsi="Times New Roman" w:cs="Times New Roman"/>
                <w:bCs/>
                <w:sz w:val="20"/>
                <w:szCs w:val="20"/>
                <w:lang w:val="ro-RO"/>
              </w:rPr>
              <w:t>,</w:t>
            </w:r>
            <w:r w:rsidR="00D86302" w:rsidRPr="00E65FC9">
              <w:rPr>
                <w:rFonts w:ascii="Times New Roman" w:eastAsia="Times New Roman" w:hAnsi="Times New Roman" w:cs="Times New Roman"/>
                <w:bCs/>
                <w:sz w:val="20"/>
                <w:szCs w:val="20"/>
                <w:lang w:val="ro-RO"/>
              </w:rPr>
              <w:t xml:space="preserve"> BNM</w:t>
            </w:r>
            <w:r w:rsidRPr="00E65FC9">
              <w:rPr>
                <w:rFonts w:ascii="Times New Roman" w:eastAsia="Times New Roman" w:hAnsi="Times New Roman" w:cs="Times New Roman"/>
                <w:bCs/>
                <w:sz w:val="20"/>
                <w:szCs w:val="20"/>
                <w:lang w:val="ro-RO"/>
              </w:rPr>
              <w:t xml:space="preserve"> a reevaluat prevederile pct.130 care a fost expus în următoarea redac</w:t>
            </w:r>
            <w:r w:rsidRPr="00E65FC9">
              <w:rPr>
                <w:rFonts w:ascii="Times New Roman" w:eastAsia="Times New Roman" w:hAnsi="Times New Roman" w:cs="Times New Roman"/>
                <w:bCs/>
                <w:sz w:val="20"/>
                <w:szCs w:val="20"/>
                <w:lang w:val="ro-MD"/>
              </w:rPr>
              <w:t>ție</w:t>
            </w:r>
            <w:r w:rsidR="00D86302" w:rsidRPr="00E65FC9">
              <w:rPr>
                <w:rFonts w:ascii="Times New Roman" w:eastAsia="Times New Roman" w:hAnsi="Times New Roman" w:cs="Times New Roman"/>
                <w:bCs/>
                <w:sz w:val="20"/>
                <w:szCs w:val="20"/>
                <w:lang w:val="ro-MD"/>
              </w:rPr>
              <w:t>:</w:t>
            </w:r>
          </w:p>
          <w:p w14:paraId="1EB999E4" w14:textId="77777777" w:rsidR="00D86302" w:rsidRPr="00D86302" w:rsidRDefault="00D86302" w:rsidP="00D86302">
            <w:pPr>
              <w:tabs>
                <w:tab w:val="left" w:pos="180"/>
                <w:tab w:val="left" w:pos="360"/>
              </w:tabs>
              <w:spacing w:after="0" w:line="240" w:lineRule="auto"/>
              <w:ind w:firstLine="6"/>
              <w:jc w:val="both"/>
              <w:rPr>
                <w:rFonts w:ascii="Times New Roman" w:eastAsia="Times New Roman" w:hAnsi="Times New Roman" w:cs="Times New Roman"/>
                <w:bCs/>
                <w:sz w:val="20"/>
                <w:szCs w:val="20"/>
                <w:lang w:val="ro-RO"/>
              </w:rPr>
            </w:pPr>
            <w:r w:rsidRPr="00E65FC9">
              <w:rPr>
                <w:rFonts w:ascii="Times New Roman" w:eastAsia="Times New Roman" w:hAnsi="Times New Roman" w:cs="Times New Roman"/>
                <w:b/>
                <w:bCs/>
                <w:sz w:val="20"/>
                <w:szCs w:val="20"/>
                <w:lang w:val="ro-RO"/>
              </w:rPr>
              <w:t>„130.</w:t>
            </w:r>
            <w:r w:rsidRPr="00E65FC9">
              <w:rPr>
                <w:rFonts w:ascii="Times New Roman" w:eastAsia="Times New Roman" w:hAnsi="Times New Roman" w:cs="Times New Roman"/>
                <w:bCs/>
                <w:sz w:val="20"/>
                <w:szCs w:val="20"/>
                <w:lang w:val="ro-RO"/>
              </w:rPr>
              <w:t xml:space="preserve"> La efectuarea plăților și transferurilor în cadrul angajamentelor </w:t>
            </w:r>
            <w:r w:rsidRPr="00E65FC9">
              <w:rPr>
                <w:rFonts w:ascii="Times New Roman" w:eastAsia="Times New Roman" w:hAnsi="Times New Roman" w:cs="Times New Roman"/>
                <w:bCs/>
                <w:sz w:val="20"/>
                <w:szCs w:val="20"/>
                <w:lang w:val="ro-RO"/>
              </w:rPr>
              <w:lastRenderedPageBreak/>
              <w:t>externe supuse notificării la BNM, rezidentul este obligat să prezinte prestatorului SPR confirmarea BNM privind luarea la evidență a angajamentului extern (după caz, confirmarea BNM privind luarea la evidență a angajamentului extern modificată), eliberat</w:t>
            </w:r>
            <w:r w:rsidRPr="00E65FC9">
              <w:rPr>
                <w:rFonts w:ascii="Times New Roman" w:eastAsia="Times New Roman" w:hAnsi="Times New Roman" w:cs="Times New Roman"/>
                <w:bCs/>
                <w:sz w:val="20"/>
                <w:szCs w:val="20"/>
                <w:lang w:val="ro-MD"/>
              </w:rPr>
              <w:t xml:space="preserve">ă </w:t>
            </w:r>
            <w:r w:rsidRPr="00E65FC9">
              <w:rPr>
                <w:rFonts w:ascii="Times New Roman" w:eastAsia="Times New Roman" w:hAnsi="Times New Roman" w:cs="Times New Roman"/>
                <w:bCs/>
                <w:sz w:val="20"/>
                <w:szCs w:val="20"/>
                <w:lang w:val="ro-RO"/>
              </w:rPr>
              <w:t>conform Instrucțiunii privind notificarea angajamentelor externe.”</w:t>
            </w:r>
          </w:p>
          <w:p w14:paraId="4224F979" w14:textId="7E5DB186" w:rsidR="00D86302" w:rsidRPr="000758CA" w:rsidRDefault="00D86302" w:rsidP="00B770CB">
            <w:pPr>
              <w:tabs>
                <w:tab w:val="left" w:pos="180"/>
                <w:tab w:val="left" w:pos="360"/>
              </w:tabs>
              <w:spacing w:after="0" w:line="240" w:lineRule="auto"/>
              <w:ind w:firstLine="6"/>
              <w:jc w:val="both"/>
              <w:rPr>
                <w:rFonts w:ascii="Times New Roman" w:eastAsia="Times New Roman" w:hAnsi="Times New Roman" w:cs="Times New Roman"/>
                <w:bCs/>
                <w:sz w:val="20"/>
                <w:szCs w:val="20"/>
                <w:lang w:val="ro-RO"/>
              </w:rPr>
            </w:pPr>
          </w:p>
        </w:tc>
      </w:tr>
      <w:tr w:rsidR="003F6182" w:rsidRPr="000435CB" w14:paraId="1E8F7D7A" w14:textId="77777777" w:rsidTr="00565AB8">
        <w:tc>
          <w:tcPr>
            <w:tcW w:w="1319" w:type="pct"/>
            <w:shd w:val="clear" w:color="auto" w:fill="auto"/>
          </w:tcPr>
          <w:p w14:paraId="25CD0A39" w14:textId="77777777" w:rsidR="00BA66D1" w:rsidRPr="00BA66D1" w:rsidRDefault="00BA66D1" w:rsidP="00B770CB">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r w:rsidRPr="00BA66D1">
              <w:rPr>
                <w:rFonts w:ascii="Times New Roman" w:eastAsia="Times New Roman" w:hAnsi="Times New Roman" w:cs="Times New Roman"/>
                <w:sz w:val="20"/>
                <w:szCs w:val="20"/>
                <w:lang w:val="ro-RO" w:eastAsia="ru-RU"/>
              </w:rPr>
              <w:lastRenderedPageBreak/>
              <w:t>35) La punctul 141 și 142, cuvântul „autorizație” se substituie cu cuvintele „autorizația BNM”;</w:t>
            </w:r>
          </w:p>
          <w:p w14:paraId="35FD174D" w14:textId="77777777" w:rsidR="003F6182" w:rsidRPr="004C4996" w:rsidRDefault="003F6182" w:rsidP="00B770CB">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p>
        </w:tc>
        <w:tc>
          <w:tcPr>
            <w:tcW w:w="661" w:type="pct"/>
            <w:shd w:val="clear" w:color="auto" w:fill="auto"/>
          </w:tcPr>
          <w:p w14:paraId="4973C0D6" w14:textId="7F542EAD" w:rsidR="003F6182" w:rsidRPr="004C4996" w:rsidRDefault="00E05E7D" w:rsidP="00B770CB">
            <w:pPr>
              <w:tabs>
                <w:tab w:val="left" w:pos="884"/>
                <w:tab w:val="left" w:pos="1196"/>
              </w:tabs>
              <w:spacing w:after="0" w:line="240" w:lineRule="auto"/>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t>ÎS Poșta Moldovei</w:t>
            </w:r>
          </w:p>
        </w:tc>
        <w:tc>
          <w:tcPr>
            <w:tcW w:w="356" w:type="pct"/>
            <w:shd w:val="clear" w:color="auto" w:fill="auto"/>
          </w:tcPr>
          <w:p w14:paraId="78B99FBD" w14:textId="051CC68F" w:rsidR="003F6182" w:rsidRPr="00DB3463" w:rsidRDefault="00DB3463" w:rsidP="00B770CB">
            <w:pPr>
              <w:tabs>
                <w:tab w:val="left" w:pos="884"/>
                <w:tab w:val="left" w:pos="1196"/>
              </w:tabs>
              <w:spacing w:after="0" w:line="240" w:lineRule="auto"/>
              <w:jc w:val="both"/>
              <w:rPr>
                <w:rFonts w:ascii="Times New Roman" w:eastAsia="Times New Roman" w:hAnsi="Times New Roman" w:cs="Times New Roman"/>
                <w:b/>
                <w:bCs/>
                <w:sz w:val="20"/>
                <w:szCs w:val="20"/>
                <w:lang w:val="ro-RO" w:eastAsia="ru-RU"/>
              </w:rPr>
            </w:pPr>
            <w:r w:rsidRPr="00DB3463">
              <w:rPr>
                <w:rFonts w:ascii="Times New Roman" w:eastAsia="Times New Roman" w:hAnsi="Times New Roman" w:cs="Times New Roman"/>
                <w:b/>
                <w:bCs/>
                <w:sz w:val="20"/>
                <w:szCs w:val="20"/>
                <w:lang w:val="ro-RO" w:eastAsia="ru-RU"/>
              </w:rPr>
              <w:t>1</w:t>
            </w:r>
            <w:r w:rsidR="008873B6">
              <w:rPr>
                <w:rFonts w:ascii="Times New Roman" w:eastAsia="Times New Roman" w:hAnsi="Times New Roman" w:cs="Times New Roman"/>
                <w:b/>
                <w:bCs/>
                <w:sz w:val="20"/>
                <w:szCs w:val="20"/>
                <w:lang w:val="ro-RO" w:eastAsia="ru-RU"/>
              </w:rPr>
              <w:t>6</w:t>
            </w:r>
          </w:p>
        </w:tc>
        <w:tc>
          <w:tcPr>
            <w:tcW w:w="1526" w:type="pct"/>
            <w:shd w:val="clear" w:color="auto" w:fill="auto"/>
          </w:tcPr>
          <w:p w14:paraId="0432193D" w14:textId="1B4623AB" w:rsidR="003F6182" w:rsidRPr="00EA7C86" w:rsidRDefault="005D048D" w:rsidP="00B770CB">
            <w:pPr>
              <w:tabs>
                <w:tab w:val="left" w:pos="180"/>
                <w:tab w:val="left" w:pos="360"/>
              </w:tabs>
              <w:spacing w:after="0" w:line="240" w:lineRule="auto"/>
              <w:ind w:firstLine="6"/>
              <w:jc w:val="both"/>
              <w:rPr>
                <w:rFonts w:ascii="Times New Roman" w:eastAsia="Times New Roman" w:hAnsi="Times New Roman" w:cs="Times New Roman"/>
                <w:bCs/>
                <w:sz w:val="20"/>
                <w:szCs w:val="20"/>
                <w:lang w:val="ro-RO"/>
              </w:rPr>
            </w:pPr>
            <w:r w:rsidRPr="00EA7C86">
              <w:rPr>
                <w:rFonts w:ascii="Times New Roman" w:eastAsia="Times New Roman" w:hAnsi="Times New Roman" w:cs="Times New Roman"/>
                <w:bCs/>
                <w:sz w:val="20"/>
                <w:szCs w:val="20"/>
                <w:lang w:val="ro-RO"/>
              </w:rPr>
              <w:t>La pct</w:t>
            </w:r>
            <w:r w:rsidR="00EA7C86">
              <w:rPr>
                <w:rFonts w:ascii="Times New Roman" w:eastAsia="Times New Roman" w:hAnsi="Times New Roman" w:cs="Times New Roman"/>
                <w:bCs/>
                <w:sz w:val="20"/>
                <w:szCs w:val="20"/>
                <w:lang w:val="ro-RO"/>
              </w:rPr>
              <w:t>.35) cuvântul „punctul” de substituit cu cuvântul „punctele”, deoarece se referă la două puncte.</w:t>
            </w:r>
          </w:p>
        </w:tc>
        <w:tc>
          <w:tcPr>
            <w:tcW w:w="1138" w:type="pct"/>
            <w:shd w:val="clear" w:color="auto" w:fill="auto"/>
          </w:tcPr>
          <w:p w14:paraId="3E096FC1" w14:textId="77777777" w:rsidR="003F6182" w:rsidRDefault="00BA66D1" w:rsidP="00B770CB">
            <w:pPr>
              <w:tabs>
                <w:tab w:val="left" w:pos="180"/>
                <w:tab w:val="left" w:pos="360"/>
              </w:tabs>
              <w:spacing w:after="0" w:line="240" w:lineRule="auto"/>
              <w:ind w:firstLine="6"/>
              <w:jc w:val="both"/>
              <w:rPr>
                <w:rFonts w:ascii="Times New Roman" w:eastAsia="Times New Roman" w:hAnsi="Times New Roman" w:cs="Times New Roman"/>
                <w:b/>
                <w:sz w:val="20"/>
                <w:szCs w:val="20"/>
                <w:lang w:val="ro-RO"/>
              </w:rPr>
            </w:pPr>
            <w:r w:rsidRPr="00BA66D1">
              <w:rPr>
                <w:rFonts w:ascii="Times New Roman" w:eastAsia="Times New Roman" w:hAnsi="Times New Roman" w:cs="Times New Roman"/>
                <w:b/>
                <w:sz w:val="20"/>
                <w:szCs w:val="20"/>
                <w:lang w:val="ro-RO"/>
              </w:rPr>
              <w:t>Se acceptă</w:t>
            </w:r>
          </w:p>
          <w:p w14:paraId="10FEEB24" w14:textId="5BE01575" w:rsidR="00EF7EFA" w:rsidRPr="004C4996" w:rsidRDefault="00EF7EFA" w:rsidP="00963D84">
            <w:pPr>
              <w:tabs>
                <w:tab w:val="left" w:pos="180"/>
                <w:tab w:val="left" w:pos="360"/>
              </w:tabs>
              <w:spacing w:after="0" w:line="240" w:lineRule="auto"/>
              <w:ind w:firstLine="6"/>
              <w:jc w:val="both"/>
              <w:rPr>
                <w:rFonts w:ascii="Times New Roman" w:eastAsia="Times New Roman" w:hAnsi="Times New Roman" w:cs="Times New Roman"/>
                <w:b/>
                <w:sz w:val="20"/>
                <w:szCs w:val="20"/>
                <w:u w:val="single"/>
                <w:lang w:val="ro-RO"/>
              </w:rPr>
            </w:pPr>
            <w:r w:rsidRPr="0052352A">
              <w:rPr>
                <w:rFonts w:ascii="Times New Roman" w:eastAsia="Times New Roman" w:hAnsi="Times New Roman" w:cs="Times New Roman"/>
                <w:bCs/>
                <w:sz w:val="20"/>
                <w:szCs w:val="20"/>
                <w:lang w:val="ro-RO"/>
              </w:rPr>
              <w:t>După revizuirea numerotării</w:t>
            </w:r>
            <w:r>
              <w:rPr>
                <w:rFonts w:ascii="Times New Roman" w:eastAsia="Times New Roman" w:hAnsi="Times New Roman" w:cs="Times New Roman"/>
                <w:bCs/>
                <w:sz w:val="20"/>
                <w:szCs w:val="20"/>
                <w:lang w:val="ro-RO"/>
              </w:rPr>
              <w:t xml:space="preserve"> </w:t>
            </w:r>
            <w:r w:rsidRPr="00EC47F1">
              <w:rPr>
                <w:rFonts w:ascii="Times New Roman" w:eastAsia="Times New Roman" w:hAnsi="Times New Roman" w:cs="Times New Roman"/>
                <w:bCs/>
                <w:sz w:val="20"/>
                <w:szCs w:val="20"/>
                <w:lang w:val="ro-RO"/>
              </w:rPr>
              <w:t>(propunerea Ministerului Justiției – pct.4 din prezenta sinteză)</w:t>
            </w:r>
            <w:r w:rsidR="00EF7BC7">
              <w:rPr>
                <w:rFonts w:ascii="Times New Roman" w:eastAsia="Times New Roman" w:hAnsi="Times New Roman" w:cs="Times New Roman"/>
                <w:bCs/>
                <w:sz w:val="20"/>
                <w:szCs w:val="20"/>
                <w:lang w:val="ro-RO"/>
              </w:rPr>
              <w:t>,</w:t>
            </w:r>
            <w:r>
              <w:rPr>
                <w:rFonts w:ascii="Times New Roman" w:eastAsia="Times New Roman" w:hAnsi="Times New Roman" w:cs="Times New Roman"/>
                <w:bCs/>
                <w:sz w:val="20"/>
                <w:szCs w:val="20"/>
                <w:lang w:val="ro-RO"/>
              </w:rPr>
              <w:t xml:space="preserve"> subpct.35) a </w:t>
            </w:r>
            <w:r w:rsidRPr="00EC47F1">
              <w:rPr>
                <w:rFonts w:ascii="Times New Roman" w:eastAsia="Times New Roman" w:hAnsi="Times New Roman" w:cs="Times New Roman"/>
                <w:bCs/>
                <w:sz w:val="20"/>
                <w:szCs w:val="20"/>
                <w:lang w:val="ro-RO"/>
              </w:rPr>
              <w:t xml:space="preserve">fost renumerotat în </w:t>
            </w:r>
            <w:r w:rsidRPr="00E65FC9">
              <w:rPr>
                <w:rFonts w:ascii="Times New Roman" w:eastAsia="Times New Roman" w:hAnsi="Times New Roman" w:cs="Times New Roman"/>
                <w:bCs/>
                <w:sz w:val="20"/>
                <w:szCs w:val="20"/>
                <w:lang w:val="ro-RO"/>
              </w:rPr>
              <w:t>subpct.</w:t>
            </w:r>
            <w:r w:rsidR="005D40E6" w:rsidRPr="00E65FC9">
              <w:rPr>
                <w:rFonts w:ascii="Times New Roman" w:eastAsia="Times New Roman" w:hAnsi="Times New Roman" w:cs="Times New Roman"/>
                <w:bCs/>
                <w:sz w:val="20"/>
                <w:szCs w:val="20"/>
                <w:lang w:val="ro-RO"/>
              </w:rPr>
              <w:t>38)</w:t>
            </w:r>
            <w:r w:rsidRPr="00E65FC9">
              <w:rPr>
                <w:rFonts w:ascii="Times New Roman" w:eastAsia="Times New Roman" w:hAnsi="Times New Roman" w:cs="Times New Roman"/>
                <w:bCs/>
                <w:sz w:val="20"/>
                <w:szCs w:val="20"/>
                <w:lang w:val="ro-RO"/>
              </w:rPr>
              <w:t>.</w:t>
            </w:r>
          </w:p>
        </w:tc>
      </w:tr>
      <w:tr w:rsidR="00E05E7D" w:rsidRPr="000435CB" w14:paraId="526014AD" w14:textId="77777777" w:rsidTr="00565AB8">
        <w:tc>
          <w:tcPr>
            <w:tcW w:w="1319" w:type="pct"/>
            <w:shd w:val="clear" w:color="auto" w:fill="auto"/>
          </w:tcPr>
          <w:p w14:paraId="4C7BE2D5" w14:textId="77777777" w:rsidR="00BA66D1" w:rsidRPr="00BA66D1" w:rsidRDefault="00BA66D1" w:rsidP="00B770CB">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r w:rsidRPr="00BA66D1">
              <w:rPr>
                <w:rFonts w:ascii="Times New Roman" w:eastAsia="Times New Roman" w:hAnsi="Times New Roman" w:cs="Times New Roman"/>
                <w:sz w:val="20"/>
                <w:szCs w:val="20"/>
                <w:lang w:val="ro-RO" w:eastAsia="ru-RU"/>
              </w:rPr>
              <w:t>38) Punctul 145 va avea următorul cuprins:</w:t>
            </w:r>
          </w:p>
          <w:p w14:paraId="16D743A4" w14:textId="381D68DF" w:rsidR="00E05E7D" w:rsidRPr="004C4996" w:rsidRDefault="00BA66D1" w:rsidP="00963D84">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r w:rsidRPr="00BA66D1">
              <w:rPr>
                <w:rFonts w:ascii="Times New Roman" w:eastAsia="Times New Roman" w:hAnsi="Times New Roman" w:cs="Times New Roman"/>
                <w:sz w:val="20"/>
                <w:szCs w:val="20"/>
                <w:lang w:val="ro-RO" w:eastAsia="ru-RU"/>
              </w:rPr>
              <w:t>„</w:t>
            </w:r>
            <w:bookmarkStart w:id="10" w:name="_Hlk130901969"/>
            <w:r w:rsidRPr="00BA66D1">
              <w:rPr>
                <w:rFonts w:ascii="Times New Roman" w:eastAsia="Times New Roman" w:hAnsi="Times New Roman" w:cs="Times New Roman"/>
                <w:b/>
                <w:bCs/>
                <w:sz w:val="20"/>
                <w:szCs w:val="20"/>
                <w:lang w:val="it-IT" w:eastAsia="ru-RU"/>
              </w:rPr>
              <w:t>145.</w:t>
            </w:r>
            <w:r w:rsidRPr="00BA66D1">
              <w:rPr>
                <w:rFonts w:ascii="Times New Roman" w:eastAsia="Times New Roman" w:hAnsi="Times New Roman" w:cs="Times New Roman"/>
                <w:sz w:val="20"/>
                <w:szCs w:val="20"/>
                <w:lang w:val="it-IT" w:eastAsia="ru-RU"/>
              </w:rPr>
              <w:t xml:space="preserve"> În cazul efectuării de către prestatorul SPR în nume şi din cont propriu a operaţiunii valutare notificate/autorizate prin contul său deschis la alt prestator SPR, notificaţia/ confirmarea BNM/ autorizaţia BNM se prezintă la prestatorul SPR la care este deschis </w:t>
            </w:r>
            <w:r w:rsidRPr="00BA66D1">
              <w:rPr>
                <w:rFonts w:ascii="Times New Roman" w:eastAsia="Times New Roman" w:hAnsi="Times New Roman" w:cs="Times New Roman"/>
                <w:sz w:val="20"/>
                <w:szCs w:val="20"/>
                <w:lang w:val="it-IT" w:eastAsia="ru-RU"/>
              </w:rPr>
              <w:lastRenderedPageBreak/>
              <w:t>contul. În acest caz, se aplică, respectiv, prevederile pct.130-135 şi 137-142.</w:t>
            </w:r>
            <w:bookmarkEnd w:id="10"/>
            <w:r w:rsidRPr="00BA66D1">
              <w:rPr>
                <w:rFonts w:ascii="Times New Roman" w:eastAsia="Times New Roman" w:hAnsi="Times New Roman" w:cs="Times New Roman"/>
                <w:sz w:val="20"/>
                <w:szCs w:val="20"/>
                <w:lang w:val="ro-RO" w:eastAsia="ru-RU"/>
              </w:rPr>
              <w:t>”.</w:t>
            </w:r>
          </w:p>
        </w:tc>
        <w:tc>
          <w:tcPr>
            <w:tcW w:w="661" w:type="pct"/>
            <w:shd w:val="clear" w:color="auto" w:fill="auto"/>
          </w:tcPr>
          <w:p w14:paraId="5B4AA9E5" w14:textId="5B8F988F" w:rsidR="00E05E7D" w:rsidRPr="004C4996" w:rsidRDefault="00E05E7D" w:rsidP="00B770CB">
            <w:pPr>
              <w:tabs>
                <w:tab w:val="left" w:pos="884"/>
                <w:tab w:val="left" w:pos="1196"/>
              </w:tabs>
              <w:spacing w:after="0" w:line="240" w:lineRule="auto"/>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lastRenderedPageBreak/>
              <w:t>ÎS Poșta Moldovei</w:t>
            </w:r>
          </w:p>
        </w:tc>
        <w:tc>
          <w:tcPr>
            <w:tcW w:w="356" w:type="pct"/>
            <w:shd w:val="clear" w:color="auto" w:fill="auto"/>
          </w:tcPr>
          <w:p w14:paraId="5A649353" w14:textId="3BF9FFB1" w:rsidR="00E05E7D" w:rsidRPr="00DB3463" w:rsidRDefault="00DB3463" w:rsidP="00B770CB">
            <w:pPr>
              <w:tabs>
                <w:tab w:val="left" w:pos="884"/>
                <w:tab w:val="left" w:pos="1196"/>
              </w:tabs>
              <w:spacing w:after="0" w:line="240" w:lineRule="auto"/>
              <w:jc w:val="both"/>
              <w:rPr>
                <w:rFonts w:ascii="Times New Roman" w:eastAsia="Times New Roman" w:hAnsi="Times New Roman" w:cs="Times New Roman"/>
                <w:b/>
                <w:bCs/>
                <w:sz w:val="20"/>
                <w:szCs w:val="20"/>
                <w:lang w:val="ro-RO" w:eastAsia="ru-RU"/>
              </w:rPr>
            </w:pPr>
            <w:r w:rsidRPr="00DB3463">
              <w:rPr>
                <w:rFonts w:ascii="Times New Roman" w:eastAsia="Times New Roman" w:hAnsi="Times New Roman" w:cs="Times New Roman"/>
                <w:b/>
                <w:bCs/>
                <w:sz w:val="20"/>
                <w:szCs w:val="20"/>
                <w:lang w:val="ro-RO" w:eastAsia="ru-RU"/>
              </w:rPr>
              <w:t>1</w:t>
            </w:r>
            <w:r w:rsidR="00CC21AC">
              <w:rPr>
                <w:rFonts w:ascii="Times New Roman" w:eastAsia="Times New Roman" w:hAnsi="Times New Roman" w:cs="Times New Roman"/>
                <w:b/>
                <w:bCs/>
                <w:sz w:val="20"/>
                <w:szCs w:val="20"/>
                <w:lang w:val="ro-RO" w:eastAsia="ru-RU"/>
              </w:rPr>
              <w:t>7</w:t>
            </w:r>
          </w:p>
        </w:tc>
        <w:tc>
          <w:tcPr>
            <w:tcW w:w="1526" w:type="pct"/>
            <w:shd w:val="clear" w:color="auto" w:fill="auto"/>
          </w:tcPr>
          <w:p w14:paraId="5F74CEE3" w14:textId="7F5380FF" w:rsidR="00E05E7D" w:rsidRPr="00EA7C86" w:rsidRDefault="00EA7C86" w:rsidP="00B770CB">
            <w:pPr>
              <w:tabs>
                <w:tab w:val="left" w:pos="180"/>
                <w:tab w:val="left" w:pos="360"/>
              </w:tabs>
              <w:spacing w:after="0" w:line="240" w:lineRule="auto"/>
              <w:ind w:firstLine="6"/>
              <w:jc w:val="both"/>
              <w:rPr>
                <w:rFonts w:ascii="Times New Roman" w:eastAsia="Times New Roman" w:hAnsi="Times New Roman" w:cs="Times New Roman"/>
                <w:bCs/>
                <w:sz w:val="20"/>
                <w:szCs w:val="20"/>
                <w:lang w:val="ro-RO"/>
              </w:rPr>
            </w:pPr>
            <w:r w:rsidRPr="00EA7C86">
              <w:rPr>
                <w:rFonts w:ascii="Times New Roman" w:eastAsia="Times New Roman" w:hAnsi="Times New Roman" w:cs="Times New Roman"/>
                <w:bCs/>
                <w:sz w:val="20"/>
                <w:szCs w:val="20"/>
                <w:lang w:val="ro-RO"/>
              </w:rPr>
              <w:t xml:space="preserve">La pct.38) </w:t>
            </w:r>
            <w:r>
              <w:rPr>
                <w:rFonts w:ascii="Times New Roman" w:eastAsia="Times New Roman" w:hAnsi="Times New Roman" w:cs="Times New Roman"/>
                <w:bCs/>
                <w:sz w:val="20"/>
                <w:szCs w:val="20"/>
                <w:lang w:val="ro-RO"/>
              </w:rPr>
              <w:t xml:space="preserve">sintagma „și 137-142” de substituit cu sintagma „ , </w:t>
            </w:r>
            <w:bookmarkStart w:id="11" w:name="_Hlk135314257"/>
            <w:r>
              <w:rPr>
                <w:rFonts w:ascii="Times New Roman" w:eastAsia="Times New Roman" w:hAnsi="Times New Roman" w:cs="Times New Roman"/>
                <w:bCs/>
                <w:sz w:val="20"/>
                <w:szCs w:val="20"/>
                <w:lang w:val="ro-RO"/>
              </w:rPr>
              <w:t>137, 138 și 140-142</w:t>
            </w:r>
            <w:bookmarkEnd w:id="11"/>
            <w:r>
              <w:rPr>
                <w:rFonts w:ascii="Times New Roman" w:eastAsia="Times New Roman" w:hAnsi="Times New Roman" w:cs="Times New Roman"/>
                <w:bCs/>
                <w:sz w:val="20"/>
                <w:szCs w:val="20"/>
                <w:lang w:val="ro-RO"/>
              </w:rPr>
              <w:t>”, deoarece pct.139 se abrogă prin pct.33) al proiectului.</w:t>
            </w:r>
          </w:p>
        </w:tc>
        <w:tc>
          <w:tcPr>
            <w:tcW w:w="1138" w:type="pct"/>
            <w:shd w:val="clear" w:color="auto" w:fill="auto"/>
          </w:tcPr>
          <w:p w14:paraId="7DA2C4C3" w14:textId="77777777" w:rsidR="00E05E7D" w:rsidRDefault="00BA66D1" w:rsidP="00B770CB">
            <w:pPr>
              <w:tabs>
                <w:tab w:val="left" w:pos="180"/>
                <w:tab w:val="left" w:pos="360"/>
              </w:tabs>
              <w:spacing w:after="0" w:line="240" w:lineRule="auto"/>
              <w:ind w:firstLine="6"/>
              <w:jc w:val="both"/>
              <w:rPr>
                <w:rFonts w:ascii="Times New Roman" w:eastAsia="Times New Roman" w:hAnsi="Times New Roman" w:cs="Times New Roman"/>
                <w:b/>
                <w:sz w:val="20"/>
                <w:szCs w:val="20"/>
                <w:lang w:val="ro-RO"/>
              </w:rPr>
            </w:pPr>
            <w:r w:rsidRPr="00BA66D1">
              <w:rPr>
                <w:rFonts w:ascii="Times New Roman" w:eastAsia="Times New Roman" w:hAnsi="Times New Roman" w:cs="Times New Roman"/>
                <w:b/>
                <w:sz w:val="20"/>
                <w:szCs w:val="20"/>
                <w:lang w:val="ro-RO"/>
              </w:rPr>
              <w:t>Se acceptă</w:t>
            </w:r>
          </w:p>
          <w:p w14:paraId="04C0401B" w14:textId="0184D697" w:rsidR="00EF7EFA" w:rsidRDefault="00EF7EFA" w:rsidP="00EF7EFA">
            <w:pPr>
              <w:tabs>
                <w:tab w:val="left" w:pos="180"/>
                <w:tab w:val="left" w:pos="360"/>
              </w:tabs>
              <w:spacing w:after="0" w:line="240" w:lineRule="auto"/>
              <w:ind w:firstLine="6"/>
              <w:jc w:val="both"/>
              <w:rPr>
                <w:rFonts w:ascii="Times New Roman" w:eastAsia="Times New Roman" w:hAnsi="Times New Roman" w:cs="Times New Roman"/>
                <w:bCs/>
                <w:sz w:val="20"/>
                <w:szCs w:val="20"/>
                <w:lang w:val="ro-RO"/>
              </w:rPr>
            </w:pPr>
            <w:r w:rsidRPr="0052352A">
              <w:rPr>
                <w:rFonts w:ascii="Times New Roman" w:eastAsia="Times New Roman" w:hAnsi="Times New Roman" w:cs="Times New Roman"/>
                <w:bCs/>
                <w:sz w:val="20"/>
                <w:szCs w:val="20"/>
                <w:lang w:val="ro-RO"/>
              </w:rPr>
              <w:t>După revizuirea numerotării</w:t>
            </w:r>
            <w:r>
              <w:rPr>
                <w:rFonts w:ascii="Times New Roman" w:eastAsia="Times New Roman" w:hAnsi="Times New Roman" w:cs="Times New Roman"/>
                <w:bCs/>
                <w:sz w:val="20"/>
                <w:szCs w:val="20"/>
                <w:lang w:val="ro-RO"/>
              </w:rPr>
              <w:t xml:space="preserve"> </w:t>
            </w:r>
            <w:r w:rsidRPr="00EC47F1">
              <w:rPr>
                <w:rFonts w:ascii="Times New Roman" w:eastAsia="Times New Roman" w:hAnsi="Times New Roman" w:cs="Times New Roman"/>
                <w:bCs/>
                <w:sz w:val="20"/>
                <w:szCs w:val="20"/>
                <w:lang w:val="ro-RO"/>
              </w:rPr>
              <w:t>(propunerea Ministerului Justiției – pct.4 din prezenta sinteză)</w:t>
            </w:r>
            <w:r w:rsidR="0009483C">
              <w:rPr>
                <w:rFonts w:ascii="Times New Roman" w:eastAsia="Times New Roman" w:hAnsi="Times New Roman" w:cs="Times New Roman"/>
                <w:bCs/>
                <w:sz w:val="20"/>
                <w:szCs w:val="20"/>
                <w:lang w:val="ro-RO"/>
              </w:rPr>
              <w:t>,</w:t>
            </w:r>
            <w:r>
              <w:rPr>
                <w:rFonts w:ascii="Times New Roman" w:eastAsia="Times New Roman" w:hAnsi="Times New Roman" w:cs="Times New Roman"/>
                <w:bCs/>
                <w:sz w:val="20"/>
                <w:szCs w:val="20"/>
                <w:lang w:val="ro-RO"/>
              </w:rPr>
              <w:t xml:space="preserve"> subpct.38) a </w:t>
            </w:r>
            <w:r w:rsidRPr="00EC47F1">
              <w:rPr>
                <w:rFonts w:ascii="Times New Roman" w:eastAsia="Times New Roman" w:hAnsi="Times New Roman" w:cs="Times New Roman"/>
                <w:bCs/>
                <w:sz w:val="20"/>
                <w:szCs w:val="20"/>
                <w:lang w:val="ro-RO"/>
              </w:rPr>
              <w:t xml:space="preserve">fost renumerotat în </w:t>
            </w:r>
            <w:r w:rsidRPr="00E65FC9">
              <w:rPr>
                <w:rFonts w:ascii="Times New Roman" w:eastAsia="Times New Roman" w:hAnsi="Times New Roman" w:cs="Times New Roman"/>
                <w:bCs/>
                <w:sz w:val="20"/>
                <w:szCs w:val="20"/>
                <w:lang w:val="ro-RO"/>
              </w:rPr>
              <w:t>subpct.</w:t>
            </w:r>
            <w:r w:rsidR="005D40E6" w:rsidRPr="00E65FC9">
              <w:rPr>
                <w:rFonts w:ascii="Times New Roman" w:eastAsia="Times New Roman" w:hAnsi="Times New Roman" w:cs="Times New Roman"/>
                <w:bCs/>
                <w:sz w:val="20"/>
                <w:szCs w:val="20"/>
                <w:lang w:val="ro-RO"/>
              </w:rPr>
              <w:t>41)</w:t>
            </w:r>
            <w:r w:rsidRPr="00E65FC9">
              <w:rPr>
                <w:rFonts w:ascii="Times New Roman" w:eastAsia="Times New Roman" w:hAnsi="Times New Roman" w:cs="Times New Roman"/>
                <w:bCs/>
                <w:sz w:val="20"/>
                <w:szCs w:val="20"/>
                <w:lang w:val="ro-RO"/>
              </w:rPr>
              <w:t>.</w:t>
            </w:r>
          </w:p>
          <w:p w14:paraId="1F31BE59" w14:textId="130ECD04" w:rsidR="00EF7EFA" w:rsidRPr="004C4996" w:rsidRDefault="00EF7EFA" w:rsidP="00B770CB">
            <w:pPr>
              <w:tabs>
                <w:tab w:val="left" w:pos="180"/>
                <w:tab w:val="left" w:pos="360"/>
              </w:tabs>
              <w:spacing w:after="0" w:line="240" w:lineRule="auto"/>
              <w:ind w:firstLine="6"/>
              <w:jc w:val="both"/>
              <w:rPr>
                <w:rFonts w:ascii="Times New Roman" w:eastAsia="Times New Roman" w:hAnsi="Times New Roman" w:cs="Times New Roman"/>
                <w:b/>
                <w:sz w:val="20"/>
                <w:szCs w:val="20"/>
                <w:u w:val="single"/>
                <w:lang w:val="ro-RO"/>
              </w:rPr>
            </w:pPr>
          </w:p>
        </w:tc>
      </w:tr>
      <w:tr w:rsidR="00E05E7D" w:rsidRPr="000435CB" w14:paraId="4EA2ABB4" w14:textId="77777777" w:rsidTr="00565AB8">
        <w:tc>
          <w:tcPr>
            <w:tcW w:w="1319" w:type="pct"/>
            <w:shd w:val="clear" w:color="auto" w:fill="auto"/>
          </w:tcPr>
          <w:p w14:paraId="4A7958A5" w14:textId="77777777" w:rsidR="00C22D4B" w:rsidRPr="00C22D4B" w:rsidRDefault="00C22D4B" w:rsidP="00B770CB">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r w:rsidRPr="00C22D4B">
              <w:rPr>
                <w:rFonts w:ascii="Times New Roman" w:eastAsia="Times New Roman" w:hAnsi="Times New Roman" w:cs="Times New Roman"/>
                <w:b/>
                <w:bCs/>
                <w:sz w:val="20"/>
                <w:szCs w:val="20"/>
                <w:lang w:val="ro-RO" w:eastAsia="ru-RU"/>
              </w:rPr>
              <w:t>II. Prezenta hotărâre intră în vigoare la data de 20 iulie 2023, cu excepția prevederilor punctelor 3) și 16) care vor intră în vigoare la 5 august 2023.</w:t>
            </w:r>
          </w:p>
          <w:p w14:paraId="76558222" w14:textId="77777777" w:rsidR="00E05E7D" w:rsidRPr="004C4996" w:rsidRDefault="00E05E7D" w:rsidP="00B770CB">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p>
        </w:tc>
        <w:tc>
          <w:tcPr>
            <w:tcW w:w="661" w:type="pct"/>
            <w:shd w:val="clear" w:color="auto" w:fill="auto"/>
          </w:tcPr>
          <w:p w14:paraId="496E3B2D" w14:textId="2FBF8FAB" w:rsidR="00E05E7D" w:rsidRPr="004C4996" w:rsidRDefault="00C22D4B" w:rsidP="00B770CB">
            <w:pPr>
              <w:tabs>
                <w:tab w:val="left" w:pos="884"/>
                <w:tab w:val="left" w:pos="1196"/>
              </w:tabs>
              <w:spacing w:after="0" w:line="240" w:lineRule="auto"/>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eastAsia="ru-RU"/>
              </w:rPr>
              <w:t>Ministerul Justiției</w:t>
            </w:r>
          </w:p>
        </w:tc>
        <w:tc>
          <w:tcPr>
            <w:tcW w:w="356" w:type="pct"/>
            <w:shd w:val="clear" w:color="auto" w:fill="auto"/>
          </w:tcPr>
          <w:p w14:paraId="24E10BAF" w14:textId="00D2F56F" w:rsidR="00E05E7D" w:rsidRPr="00661A1F" w:rsidRDefault="00661A1F" w:rsidP="00B770CB">
            <w:pPr>
              <w:tabs>
                <w:tab w:val="left" w:pos="884"/>
                <w:tab w:val="left" w:pos="1196"/>
              </w:tabs>
              <w:spacing w:after="0" w:line="240" w:lineRule="auto"/>
              <w:jc w:val="both"/>
              <w:rPr>
                <w:rFonts w:ascii="Times New Roman" w:eastAsia="Times New Roman" w:hAnsi="Times New Roman" w:cs="Times New Roman"/>
                <w:b/>
                <w:bCs/>
                <w:sz w:val="20"/>
                <w:szCs w:val="20"/>
                <w:lang w:val="ro-RO" w:eastAsia="ru-RU"/>
              </w:rPr>
            </w:pPr>
            <w:r w:rsidRPr="00661A1F">
              <w:rPr>
                <w:rFonts w:ascii="Times New Roman" w:eastAsia="Times New Roman" w:hAnsi="Times New Roman" w:cs="Times New Roman"/>
                <w:b/>
                <w:bCs/>
                <w:sz w:val="20"/>
                <w:szCs w:val="20"/>
                <w:lang w:val="ro-RO" w:eastAsia="ru-RU"/>
              </w:rPr>
              <w:t>1</w:t>
            </w:r>
            <w:r w:rsidR="00CC21AC">
              <w:rPr>
                <w:rFonts w:ascii="Times New Roman" w:eastAsia="Times New Roman" w:hAnsi="Times New Roman" w:cs="Times New Roman"/>
                <w:b/>
                <w:bCs/>
                <w:sz w:val="20"/>
                <w:szCs w:val="20"/>
                <w:lang w:val="ro-RO" w:eastAsia="ru-RU"/>
              </w:rPr>
              <w:t>8</w:t>
            </w:r>
          </w:p>
        </w:tc>
        <w:tc>
          <w:tcPr>
            <w:tcW w:w="1526" w:type="pct"/>
            <w:shd w:val="clear" w:color="auto" w:fill="auto"/>
          </w:tcPr>
          <w:p w14:paraId="688A0659" w14:textId="606B4446" w:rsidR="00E05E7D" w:rsidRPr="00C22D4B" w:rsidRDefault="00C22D4B" w:rsidP="00B770CB">
            <w:pPr>
              <w:tabs>
                <w:tab w:val="left" w:pos="180"/>
                <w:tab w:val="left" w:pos="360"/>
              </w:tabs>
              <w:spacing w:after="0" w:line="240" w:lineRule="auto"/>
              <w:ind w:firstLine="6"/>
              <w:jc w:val="both"/>
              <w:rPr>
                <w:rFonts w:ascii="Times New Roman" w:eastAsia="Times New Roman" w:hAnsi="Times New Roman" w:cs="Times New Roman"/>
                <w:bCs/>
                <w:sz w:val="20"/>
                <w:szCs w:val="20"/>
                <w:lang w:val="ro-RO"/>
              </w:rPr>
            </w:pPr>
            <w:r w:rsidRPr="00C22D4B">
              <w:rPr>
                <w:rFonts w:ascii="Times New Roman" w:eastAsia="Times New Roman" w:hAnsi="Times New Roman" w:cs="Times New Roman"/>
                <w:bCs/>
                <w:sz w:val="20"/>
                <w:szCs w:val="20"/>
                <w:lang w:val="ro-MD"/>
              </w:rPr>
              <w:t xml:space="preserve">Potrivit pct. II, „Prezenta hotărâre intră în vigoare la data de 20 iulie 2023, cu excepția prevederilor punctelor 3) și 16) care vor intră în vigoare la 5 august 2023.”. În acest sens, considerăm necesară completarea notei informative cu argumente ce vor permite o înțelegere mai clară a necesitării intrării în vigoare a punctelor 3) și 16) la 5 august 2023, or, potrivit art. 71 alin. (4) din </w:t>
            </w:r>
            <w:r w:rsidRPr="00C22D4B">
              <w:rPr>
                <w:rFonts w:ascii="Times New Roman" w:eastAsia="Times New Roman" w:hAnsi="Times New Roman" w:cs="Times New Roman"/>
                <w:bCs/>
                <w:i/>
                <w:iCs/>
                <w:sz w:val="20"/>
                <w:szCs w:val="20"/>
                <w:lang w:val="ro-MD"/>
              </w:rPr>
              <w:t xml:space="preserve">Legea nr. 100/2017, </w:t>
            </w:r>
            <w:r w:rsidRPr="00C22D4B">
              <w:rPr>
                <w:rFonts w:ascii="Times New Roman" w:eastAsia="Times New Roman" w:hAnsi="Times New Roman" w:cs="Times New Roman"/>
                <w:bCs/>
                <w:sz w:val="20"/>
                <w:szCs w:val="20"/>
                <w:lang w:val="ro-MD"/>
              </w:rPr>
              <w:t>la interpretarea actului normativ se va ține cont de nota informativă care a însoțit proiectul actului normativ respectiv și de alte documente care permit identificarea voinței autorității publice care a adoptat, a aprobat sau emis actul normativ.</w:t>
            </w:r>
          </w:p>
        </w:tc>
        <w:tc>
          <w:tcPr>
            <w:tcW w:w="1138" w:type="pct"/>
            <w:shd w:val="clear" w:color="auto" w:fill="auto"/>
          </w:tcPr>
          <w:p w14:paraId="14364C28" w14:textId="409CAFE3" w:rsidR="00E05E7D" w:rsidRDefault="00EF7EFA" w:rsidP="00B770CB">
            <w:pPr>
              <w:tabs>
                <w:tab w:val="left" w:pos="180"/>
                <w:tab w:val="left" w:pos="360"/>
              </w:tabs>
              <w:spacing w:after="0" w:line="240" w:lineRule="auto"/>
              <w:ind w:firstLine="6"/>
              <w:jc w:val="both"/>
              <w:rPr>
                <w:rFonts w:ascii="Times New Roman" w:eastAsia="Times New Roman" w:hAnsi="Times New Roman" w:cs="Times New Roman"/>
                <w:b/>
                <w:sz w:val="20"/>
                <w:szCs w:val="20"/>
                <w:lang w:val="ro-RO"/>
              </w:rPr>
            </w:pPr>
            <w:r>
              <w:rPr>
                <w:rFonts w:ascii="Times New Roman" w:eastAsia="Times New Roman" w:hAnsi="Times New Roman" w:cs="Times New Roman"/>
                <w:b/>
                <w:sz w:val="20"/>
                <w:szCs w:val="20"/>
                <w:lang w:val="ro-RO"/>
              </w:rPr>
              <w:t>Comentariu</w:t>
            </w:r>
          </w:p>
          <w:p w14:paraId="12227301" w14:textId="3F8438DB" w:rsidR="00EF7EFA" w:rsidRPr="000758CA" w:rsidRDefault="00B67FBD">
            <w:pPr>
              <w:tabs>
                <w:tab w:val="left" w:pos="180"/>
                <w:tab w:val="left" w:pos="360"/>
              </w:tabs>
              <w:spacing w:after="0" w:line="240" w:lineRule="auto"/>
              <w:ind w:firstLine="6"/>
              <w:jc w:val="both"/>
              <w:rPr>
                <w:rFonts w:ascii="Times New Roman" w:eastAsia="Times New Roman" w:hAnsi="Times New Roman" w:cs="Times New Roman"/>
                <w:bCs/>
                <w:sz w:val="20"/>
                <w:szCs w:val="20"/>
                <w:lang w:val="ro-RO"/>
              </w:rPr>
            </w:pPr>
            <w:r>
              <w:rPr>
                <w:rFonts w:ascii="Times New Roman" w:eastAsia="Times New Roman" w:hAnsi="Times New Roman" w:cs="Times New Roman"/>
                <w:bCs/>
                <w:sz w:val="20"/>
                <w:szCs w:val="20"/>
                <w:lang w:val="ro-RO"/>
              </w:rPr>
              <w:t>Ținând</w:t>
            </w:r>
            <w:r w:rsidR="00EF7EFA">
              <w:rPr>
                <w:rFonts w:ascii="Times New Roman" w:eastAsia="Times New Roman" w:hAnsi="Times New Roman" w:cs="Times New Roman"/>
                <w:bCs/>
                <w:sz w:val="20"/>
                <w:szCs w:val="20"/>
                <w:lang w:val="ro-RO"/>
              </w:rPr>
              <w:t xml:space="preserve"> cont de </w:t>
            </w:r>
            <w:r>
              <w:rPr>
                <w:rFonts w:ascii="Times New Roman" w:eastAsia="Times New Roman" w:hAnsi="Times New Roman" w:cs="Times New Roman"/>
                <w:bCs/>
                <w:sz w:val="20"/>
                <w:szCs w:val="20"/>
                <w:lang w:val="ro-RO"/>
              </w:rPr>
              <w:t xml:space="preserve">faptul că </w:t>
            </w:r>
            <w:r w:rsidR="00D86302" w:rsidRPr="00E65FC9">
              <w:rPr>
                <w:rFonts w:ascii="Times New Roman" w:eastAsia="Times New Roman" w:hAnsi="Times New Roman" w:cs="Times New Roman"/>
                <w:bCs/>
                <w:sz w:val="20"/>
                <w:szCs w:val="20"/>
                <w:lang w:val="ro-RO"/>
              </w:rPr>
              <w:t xml:space="preserve">modificările la Instrucțiunea privind notificarea angajamentelor externe vor intra în vigoare la </w:t>
            </w:r>
            <w:r w:rsidR="00175CC1" w:rsidRPr="00E65FC9">
              <w:rPr>
                <w:rFonts w:ascii="Times New Roman" w:eastAsia="Times New Roman" w:hAnsi="Times New Roman" w:cs="Times New Roman"/>
                <w:sz w:val="20"/>
                <w:szCs w:val="20"/>
                <w:lang w:val="ro-MD"/>
              </w:rPr>
              <w:t>1 ianuarie 2024</w:t>
            </w:r>
            <w:r w:rsidR="00D86302" w:rsidRPr="00E65FC9">
              <w:rPr>
                <w:rFonts w:ascii="Times New Roman" w:eastAsia="Times New Roman" w:hAnsi="Times New Roman" w:cs="Times New Roman"/>
                <w:bCs/>
                <w:sz w:val="20"/>
                <w:szCs w:val="20"/>
                <w:lang w:val="ro-RO"/>
              </w:rPr>
              <w:t>, intrarea în vigoare a prevederilor hotărârii a fost sincronizată în mod corespunzător.</w:t>
            </w:r>
          </w:p>
        </w:tc>
      </w:tr>
      <w:tr w:rsidR="00A518D8" w:rsidRPr="000435CB" w14:paraId="2B773C91" w14:textId="77777777" w:rsidTr="00565AB8">
        <w:tc>
          <w:tcPr>
            <w:tcW w:w="1319" w:type="pct"/>
            <w:shd w:val="clear" w:color="auto" w:fill="auto"/>
          </w:tcPr>
          <w:p w14:paraId="389031E4" w14:textId="77777777" w:rsidR="00A518D8" w:rsidRPr="004C4996" w:rsidRDefault="00A518D8" w:rsidP="00B770CB">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p>
        </w:tc>
        <w:tc>
          <w:tcPr>
            <w:tcW w:w="661" w:type="pct"/>
            <w:shd w:val="clear" w:color="auto" w:fill="auto"/>
          </w:tcPr>
          <w:p w14:paraId="0ED6D411" w14:textId="77777777" w:rsidR="00A518D8" w:rsidRPr="004C4996" w:rsidRDefault="00A518D8" w:rsidP="00B770CB">
            <w:pPr>
              <w:tabs>
                <w:tab w:val="left" w:pos="884"/>
                <w:tab w:val="left" w:pos="1196"/>
              </w:tabs>
              <w:spacing w:after="0" w:line="240" w:lineRule="auto"/>
              <w:jc w:val="both"/>
              <w:rPr>
                <w:rFonts w:ascii="Times New Roman" w:eastAsia="Times New Roman" w:hAnsi="Times New Roman" w:cs="Times New Roman"/>
                <w:b/>
                <w:sz w:val="20"/>
                <w:szCs w:val="20"/>
                <w:lang w:val="ro-RO"/>
              </w:rPr>
            </w:pPr>
          </w:p>
        </w:tc>
        <w:tc>
          <w:tcPr>
            <w:tcW w:w="356" w:type="pct"/>
            <w:shd w:val="clear" w:color="auto" w:fill="auto"/>
          </w:tcPr>
          <w:p w14:paraId="62925AA7" w14:textId="77777777" w:rsidR="00A518D8" w:rsidRPr="004C4996" w:rsidRDefault="00A518D8" w:rsidP="00B770CB">
            <w:pPr>
              <w:tabs>
                <w:tab w:val="left" w:pos="884"/>
                <w:tab w:val="left" w:pos="1196"/>
              </w:tabs>
              <w:spacing w:after="0" w:line="240" w:lineRule="auto"/>
              <w:jc w:val="both"/>
              <w:rPr>
                <w:rFonts w:ascii="Times New Roman" w:eastAsia="Times New Roman" w:hAnsi="Times New Roman" w:cs="Times New Roman"/>
                <w:sz w:val="20"/>
                <w:szCs w:val="20"/>
                <w:lang w:val="ro-RO" w:eastAsia="ru-RU"/>
              </w:rPr>
            </w:pPr>
          </w:p>
        </w:tc>
        <w:tc>
          <w:tcPr>
            <w:tcW w:w="1526" w:type="pct"/>
            <w:shd w:val="clear" w:color="auto" w:fill="auto"/>
          </w:tcPr>
          <w:p w14:paraId="23ACA7A4" w14:textId="77777777" w:rsidR="00A518D8" w:rsidRPr="004C4996" w:rsidRDefault="00A518D8" w:rsidP="00B770CB">
            <w:pPr>
              <w:tabs>
                <w:tab w:val="left" w:pos="180"/>
                <w:tab w:val="left" w:pos="360"/>
              </w:tabs>
              <w:spacing w:after="0" w:line="240" w:lineRule="auto"/>
              <w:ind w:firstLine="6"/>
              <w:jc w:val="both"/>
              <w:rPr>
                <w:rFonts w:ascii="Times New Roman" w:eastAsia="Times New Roman" w:hAnsi="Times New Roman" w:cs="Times New Roman"/>
                <w:b/>
                <w:sz w:val="20"/>
                <w:szCs w:val="20"/>
                <w:u w:val="single"/>
                <w:lang w:val="ro-RO"/>
              </w:rPr>
            </w:pPr>
            <w:r w:rsidRPr="004C4996">
              <w:rPr>
                <w:rFonts w:ascii="Times New Roman" w:eastAsia="Times New Roman" w:hAnsi="Times New Roman" w:cs="Times New Roman"/>
                <w:b/>
                <w:sz w:val="20"/>
                <w:szCs w:val="20"/>
                <w:u w:val="single"/>
                <w:lang w:val="ro-RO"/>
              </w:rPr>
              <w:t>Nu au avut obiecții și propuneri:</w:t>
            </w:r>
          </w:p>
          <w:p w14:paraId="328542C1" w14:textId="5FA2210D" w:rsidR="00EA7C86" w:rsidRDefault="00EA7C86" w:rsidP="00B770CB">
            <w:pPr>
              <w:tabs>
                <w:tab w:val="left" w:pos="180"/>
                <w:tab w:val="left" w:pos="360"/>
              </w:tabs>
              <w:spacing w:after="0" w:line="240" w:lineRule="auto"/>
              <w:ind w:firstLine="6"/>
              <w:jc w:val="both"/>
              <w:rPr>
                <w:rFonts w:ascii="Times New Roman" w:eastAsia="Times New Roman" w:hAnsi="Times New Roman" w:cs="Times New Roman"/>
                <w:sz w:val="20"/>
                <w:szCs w:val="20"/>
                <w:lang w:val="ro-RO" w:eastAsia="ru-RU"/>
              </w:rPr>
            </w:pPr>
            <w:r>
              <w:rPr>
                <w:rFonts w:ascii="Times New Roman" w:eastAsia="Times New Roman" w:hAnsi="Times New Roman" w:cs="Times New Roman"/>
                <w:sz w:val="20"/>
                <w:szCs w:val="20"/>
                <w:lang w:val="ro-RO" w:eastAsia="ru-RU"/>
              </w:rPr>
              <w:t>Centrul Național pentru Protecția Datelor cu Caracter Personal al RM</w:t>
            </w:r>
          </w:p>
          <w:p w14:paraId="372D8DB5" w14:textId="4188A741" w:rsidR="00EF43C6" w:rsidRDefault="003F6182" w:rsidP="00B770CB">
            <w:pPr>
              <w:tabs>
                <w:tab w:val="left" w:pos="180"/>
                <w:tab w:val="left" w:pos="360"/>
              </w:tabs>
              <w:spacing w:after="0" w:line="240" w:lineRule="auto"/>
              <w:ind w:firstLine="6"/>
              <w:jc w:val="both"/>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RO" w:eastAsia="ru-RU"/>
              </w:rPr>
              <w:t>BCR Chi</w:t>
            </w:r>
            <w:r>
              <w:rPr>
                <w:rFonts w:ascii="Times New Roman" w:eastAsia="Times New Roman" w:hAnsi="Times New Roman" w:cs="Times New Roman"/>
                <w:sz w:val="20"/>
                <w:szCs w:val="20"/>
                <w:lang w:val="ro-MD" w:eastAsia="ru-RU"/>
              </w:rPr>
              <w:t>șinău SA</w:t>
            </w:r>
          </w:p>
          <w:p w14:paraId="5A15C1BD" w14:textId="77777777" w:rsidR="003F6182" w:rsidRDefault="003F6182" w:rsidP="00B770CB">
            <w:pPr>
              <w:tabs>
                <w:tab w:val="left" w:pos="180"/>
                <w:tab w:val="left" w:pos="360"/>
              </w:tabs>
              <w:spacing w:after="0" w:line="240" w:lineRule="auto"/>
              <w:ind w:firstLine="6"/>
              <w:jc w:val="both"/>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MD" w:eastAsia="ru-RU"/>
              </w:rPr>
              <w:t>BC EuroCreditBank SA</w:t>
            </w:r>
          </w:p>
          <w:p w14:paraId="342A16EB" w14:textId="77777777" w:rsidR="00E05E7D" w:rsidRDefault="00E05E7D" w:rsidP="00B770CB">
            <w:pPr>
              <w:tabs>
                <w:tab w:val="left" w:pos="180"/>
                <w:tab w:val="left" w:pos="360"/>
              </w:tabs>
              <w:spacing w:after="0" w:line="240" w:lineRule="auto"/>
              <w:ind w:firstLine="6"/>
              <w:jc w:val="both"/>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MD" w:eastAsia="ru-RU"/>
              </w:rPr>
              <w:t>BC Energbank SA</w:t>
            </w:r>
          </w:p>
          <w:p w14:paraId="2E5AD77E" w14:textId="77777777" w:rsidR="00E05E7D" w:rsidRDefault="00E05E7D" w:rsidP="00B770CB">
            <w:pPr>
              <w:tabs>
                <w:tab w:val="left" w:pos="180"/>
                <w:tab w:val="left" w:pos="360"/>
              </w:tabs>
              <w:spacing w:after="0" w:line="240" w:lineRule="auto"/>
              <w:ind w:firstLine="6"/>
              <w:jc w:val="both"/>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MD" w:eastAsia="ru-RU"/>
              </w:rPr>
              <w:t>BC FinComBank SA</w:t>
            </w:r>
          </w:p>
          <w:p w14:paraId="0EAB0B13" w14:textId="77777777" w:rsidR="00E05E7D" w:rsidRDefault="00E05E7D" w:rsidP="00B770CB">
            <w:pPr>
              <w:tabs>
                <w:tab w:val="left" w:pos="180"/>
                <w:tab w:val="left" w:pos="360"/>
              </w:tabs>
              <w:spacing w:after="0" w:line="240" w:lineRule="auto"/>
              <w:ind w:firstLine="6"/>
              <w:jc w:val="both"/>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MD" w:eastAsia="ru-RU"/>
              </w:rPr>
              <w:t>BC MAIB SA</w:t>
            </w:r>
          </w:p>
          <w:p w14:paraId="0BF22A65" w14:textId="64510A61" w:rsidR="00E05E7D" w:rsidRDefault="00E05E7D" w:rsidP="00B770CB">
            <w:pPr>
              <w:tabs>
                <w:tab w:val="left" w:pos="180"/>
                <w:tab w:val="left" w:pos="360"/>
              </w:tabs>
              <w:spacing w:after="0" w:line="240" w:lineRule="auto"/>
              <w:ind w:firstLine="6"/>
              <w:jc w:val="both"/>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MD" w:eastAsia="ru-RU"/>
              </w:rPr>
              <w:t>BC MICB SA</w:t>
            </w:r>
          </w:p>
          <w:p w14:paraId="14081318" w14:textId="56CF9D05" w:rsidR="00E05E7D" w:rsidRDefault="00E05E7D" w:rsidP="00B770CB">
            <w:pPr>
              <w:tabs>
                <w:tab w:val="left" w:pos="180"/>
                <w:tab w:val="left" w:pos="360"/>
              </w:tabs>
              <w:spacing w:after="0" w:line="240" w:lineRule="auto"/>
              <w:ind w:firstLine="6"/>
              <w:jc w:val="both"/>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MD" w:eastAsia="ru-RU"/>
              </w:rPr>
              <w:t>BC OTPBank SA</w:t>
            </w:r>
          </w:p>
          <w:p w14:paraId="75C79FA8" w14:textId="6C48852B" w:rsidR="00E05E7D" w:rsidRDefault="00E05E7D" w:rsidP="00B770CB">
            <w:pPr>
              <w:tabs>
                <w:tab w:val="left" w:pos="180"/>
                <w:tab w:val="left" w:pos="360"/>
              </w:tabs>
              <w:spacing w:after="0" w:line="240" w:lineRule="auto"/>
              <w:ind w:firstLine="6"/>
              <w:jc w:val="both"/>
              <w:rPr>
                <w:rFonts w:ascii="Times New Roman" w:eastAsia="Times New Roman" w:hAnsi="Times New Roman" w:cs="Times New Roman"/>
                <w:sz w:val="20"/>
                <w:szCs w:val="20"/>
                <w:lang w:val="ro-MD" w:eastAsia="ru-RU"/>
              </w:rPr>
            </w:pPr>
            <w:r>
              <w:rPr>
                <w:rFonts w:ascii="Times New Roman" w:eastAsia="Times New Roman" w:hAnsi="Times New Roman" w:cs="Times New Roman"/>
                <w:sz w:val="20"/>
                <w:szCs w:val="20"/>
                <w:lang w:val="ro-MD" w:eastAsia="ru-RU"/>
              </w:rPr>
              <w:t>BC VictoriaBank SA</w:t>
            </w:r>
          </w:p>
          <w:p w14:paraId="0D537CC3" w14:textId="37A339EE" w:rsidR="00E05E7D" w:rsidRPr="003F6182" w:rsidRDefault="00E05E7D" w:rsidP="00B770CB">
            <w:pPr>
              <w:tabs>
                <w:tab w:val="left" w:pos="180"/>
                <w:tab w:val="left" w:pos="360"/>
              </w:tabs>
              <w:spacing w:after="0" w:line="240" w:lineRule="auto"/>
              <w:ind w:firstLine="6"/>
              <w:jc w:val="both"/>
              <w:rPr>
                <w:rFonts w:ascii="Times New Roman" w:eastAsia="Times New Roman" w:hAnsi="Times New Roman" w:cs="Times New Roman"/>
                <w:sz w:val="20"/>
                <w:szCs w:val="20"/>
                <w:lang w:val="ro-MD" w:eastAsia="ru-RU"/>
              </w:rPr>
            </w:pPr>
          </w:p>
        </w:tc>
        <w:tc>
          <w:tcPr>
            <w:tcW w:w="1138" w:type="pct"/>
            <w:shd w:val="clear" w:color="auto" w:fill="auto"/>
          </w:tcPr>
          <w:p w14:paraId="10394E04" w14:textId="26CE8E76" w:rsidR="00E9188D" w:rsidRDefault="00E9188D" w:rsidP="00B770CB">
            <w:pPr>
              <w:tabs>
                <w:tab w:val="left" w:pos="180"/>
                <w:tab w:val="left" w:pos="360"/>
              </w:tabs>
              <w:spacing w:after="0" w:line="240" w:lineRule="auto"/>
              <w:ind w:firstLine="6"/>
              <w:jc w:val="both"/>
              <w:rPr>
                <w:rFonts w:ascii="Times New Roman" w:eastAsia="Times New Roman" w:hAnsi="Times New Roman" w:cs="Times New Roman"/>
                <w:b/>
                <w:sz w:val="20"/>
                <w:szCs w:val="20"/>
                <w:lang w:val="ro-RO"/>
              </w:rPr>
            </w:pPr>
            <w:r w:rsidRPr="005C09F2">
              <w:rPr>
                <w:rFonts w:ascii="Times New Roman" w:eastAsia="Times New Roman" w:hAnsi="Times New Roman" w:cs="Times New Roman"/>
                <w:b/>
                <w:sz w:val="20"/>
                <w:szCs w:val="20"/>
                <w:lang w:val="ro-RO"/>
              </w:rPr>
              <w:t>Expertizele efectuate de către autorități:</w:t>
            </w:r>
          </w:p>
          <w:p w14:paraId="038357CA" w14:textId="77777777" w:rsidR="005C09F2" w:rsidRPr="005C09F2" w:rsidRDefault="005C09F2" w:rsidP="00B770CB">
            <w:pPr>
              <w:tabs>
                <w:tab w:val="left" w:pos="180"/>
                <w:tab w:val="left" w:pos="360"/>
              </w:tabs>
              <w:spacing w:after="0" w:line="240" w:lineRule="auto"/>
              <w:ind w:firstLine="6"/>
              <w:jc w:val="both"/>
              <w:rPr>
                <w:rFonts w:ascii="Times New Roman" w:eastAsia="Times New Roman" w:hAnsi="Times New Roman" w:cs="Times New Roman"/>
                <w:b/>
                <w:sz w:val="20"/>
                <w:szCs w:val="20"/>
                <w:lang w:val="ro-RO"/>
              </w:rPr>
            </w:pPr>
          </w:p>
          <w:p w14:paraId="35B097EF" w14:textId="7C59E625" w:rsidR="00301ECF" w:rsidRPr="00301ECF" w:rsidRDefault="00E9188D" w:rsidP="00B770CB">
            <w:pPr>
              <w:autoSpaceDE w:val="0"/>
              <w:autoSpaceDN w:val="0"/>
              <w:spacing w:after="0" w:line="240" w:lineRule="auto"/>
              <w:jc w:val="both"/>
              <w:rPr>
                <w:rFonts w:ascii="Times New Roman" w:hAnsi="Times New Roman" w:cs="Times New Roman"/>
                <w:sz w:val="20"/>
                <w:szCs w:val="20"/>
                <w:lang w:val="ro-RO"/>
              </w:rPr>
            </w:pPr>
            <w:r w:rsidRPr="00197B8C">
              <w:rPr>
                <w:rFonts w:ascii="Times New Roman" w:hAnsi="Times New Roman" w:cs="Times New Roman"/>
                <w:b/>
                <w:bCs/>
                <w:sz w:val="20"/>
                <w:szCs w:val="20"/>
                <w:lang w:val="ro-RO"/>
              </w:rPr>
              <w:t xml:space="preserve">Ministerul Finanțelor </w:t>
            </w:r>
            <w:r w:rsidR="00301ECF">
              <w:rPr>
                <w:rFonts w:ascii="Times New Roman" w:hAnsi="Times New Roman" w:cs="Times New Roman"/>
                <w:sz w:val="20"/>
                <w:szCs w:val="20"/>
                <w:lang w:val="ro-RO"/>
              </w:rPr>
              <w:t>a menționat că î</w:t>
            </w:r>
            <w:r w:rsidR="00301ECF" w:rsidRPr="00301ECF">
              <w:rPr>
                <w:rFonts w:ascii="Times New Roman" w:hAnsi="Times New Roman" w:cs="Times New Roman"/>
                <w:sz w:val="20"/>
                <w:szCs w:val="20"/>
                <w:lang w:val="ro-RO"/>
              </w:rPr>
              <w:t>n conformitate cu prevederile art.34 alin. (5) din Legea nr.100/2017 cu privire la actele normative, expertiza financiară este obligatorie pentru proiectele care au impact asupra bugetului public, or implementarea proiectului menționat supra nu implică cheltuieli financiare și/sau alocarea de mijloace financiare suplimentare din contul bugetului de stat.</w:t>
            </w:r>
          </w:p>
          <w:p w14:paraId="24C4C2F0" w14:textId="0A80536B" w:rsidR="00C147DD" w:rsidRPr="004C4996" w:rsidRDefault="00EA7C86" w:rsidP="00B770CB">
            <w:pPr>
              <w:autoSpaceDE w:val="0"/>
              <w:autoSpaceDN w:val="0"/>
              <w:spacing w:after="0" w:line="240" w:lineRule="auto"/>
              <w:jc w:val="both"/>
              <w:rPr>
                <w:rFonts w:ascii="Times New Roman" w:eastAsia="Times New Roman" w:hAnsi="Times New Roman" w:cs="Times New Roman"/>
                <w:bCs/>
                <w:sz w:val="20"/>
                <w:szCs w:val="20"/>
                <w:lang w:val="ro-RO"/>
              </w:rPr>
            </w:pPr>
            <w:r w:rsidRPr="004C4996">
              <w:rPr>
                <w:rFonts w:ascii="Times New Roman" w:hAnsi="Times New Roman" w:cs="Times New Roman"/>
                <w:b/>
                <w:bCs/>
                <w:sz w:val="20"/>
                <w:szCs w:val="20"/>
                <w:lang w:val="ro-RO"/>
              </w:rPr>
              <w:t xml:space="preserve">Ministerul Dezvoltării Economice și Digitalizării </w:t>
            </w:r>
            <w:r w:rsidRPr="004C4996">
              <w:rPr>
                <w:rFonts w:ascii="Times New Roman" w:hAnsi="Times New Roman" w:cs="Times New Roman"/>
                <w:bCs/>
                <w:sz w:val="20"/>
                <w:szCs w:val="20"/>
                <w:lang w:val="ro-RO"/>
              </w:rPr>
              <w:t>nu s-a expus în cadrul expertizei economice</w:t>
            </w:r>
            <w:r>
              <w:rPr>
                <w:rFonts w:ascii="Times New Roman" w:hAnsi="Times New Roman" w:cs="Times New Roman"/>
                <w:bCs/>
                <w:sz w:val="20"/>
                <w:szCs w:val="20"/>
                <w:lang w:val="ro-RO"/>
              </w:rPr>
              <w:t>, dar a comunicat lipsa</w:t>
            </w:r>
            <w:r w:rsidRPr="004C4996">
              <w:rPr>
                <w:rFonts w:ascii="Times New Roman" w:eastAsia="Times New Roman" w:hAnsi="Times New Roman" w:cs="Times New Roman"/>
                <w:bCs/>
                <w:sz w:val="20"/>
                <w:szCs w:val="20"/>
                <w:lang w:val="ro-RO"/>
              </w:rPr>
              <w:t xml:space="preserve"> obiecții</w:t>
            </w:r>
            <w:r>
              <w:rPr>
                <w:rFonts w:ascii="Times New Roman" w:eastAsia="Times New Roman" w:hAnsi="Times New Roman" w:cs="Times New Roman"/>
                <w:bCs/>
                <w:sz w:val="20"/>
                <w:szCs w:val="20"/>
                <w:lang w:val="ro-RO"/>
              </w:rPr>
              <w:t>lor</w:t>
            </w:r>
            <w:r w:rsidRPr="004C4996">
              <w:rPr>
                <w:rFonts w:ascii="Times New Roman" w:eastAsia="Times New Roman" w:hAnsi="Times New Roman" w:cs="Times New Roman"/>
                <w:bCs/>
                <w:sz w:val="20"/>
                <w:szCs w:val="20"/>
                <w:lang w:val="ro-RO"/>
              </w:rPr>
              <w:t xml:space="preserve"> și propuneri</w:t>
            </w:r>
            <w:r>
              <w:rPr>
                <w:rFonts w:ascii="Times New Roman" w:eastAsia="Times New Roman" w:hAnsi="Times New Roman" w:cs="Times New Roman"/>
                <w:bCs/>
                <w:sz w:val="20"/>
                <w:szCs w:val="20"/>
                <w:lang w:val="ro-RO"/>
              </w:rPr>
              <w:t>lor la proiect.</w:t>
            </w:r>
          </w:p>
        </w:tc>
      </w:tr>
    </w:tbl>
    <w:p w14:paraId="185B61AE" w14:textId="77777777" w:rsidR="00A518D8" w:rsidRPr="004C4996" w:rsidRDefault="00A518D8" w:rsidP="00B770CB">
      <w:pPr>
        <w:jc w:val="both"/>
        <w:rPr>
          <w:rFonts w:ascii="Times New Roman" w:hAnsi="Times New Roman" w:cs="Times New Roman"/>
          <w:lang w:val="ro-RO"/>
        </w:rPr>
      </w:pPr>
    </w:p>
    <w:sectPr w:rsidR="00A518D8" w:rsidRPr="004C4996" w:rsidSect="00BE161B">
      <w:headerReference w:type="even" r:id="rId10"/>
      <w:headerReference w:type="default" r:id="rId11"/>
      <w:footerReference w:type="even" r:id="rId12"/>
      <w:footerReference w:type="default" r:id="rId13"/>
      <w:headerReference w:type="first" r:id="rId14"/>
      <w:footerReference w:type="first" r:id="rId15"/>
      <w:pgSz w:w="16839" w:h="11907" w:orient="landscape" w:code="9"/>
      <w:pgMar w:top="993" w:right="1134" w:bottom="850"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A9BA2" w14:textId="77777777" w:rsidR="00777A69" w:rsidRDefault="00777A69" w:rsidP="00BE161B">
      <w:pPr>
        <w:spacing w:after="0" w:line="240" w:lineRule="auto"/>
      </w:pPr>
      <w:r>
        <w:separator/>
      </w:r>
    </w:p>
  </w:endnote>
  <w:endnote w:type="continuationSeparator" w:id="0">
    <w:p w14:paraId="0AA5B238" w14:textId="77777777" w:rsidR="00777A69" w:rsidRDefault="00777A69" w:rsidP="00BE1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rmianSansTypeface">
    <w:panose1 w:val="02000000000000000000"/>
    <w:charset w:val="00"/>
    <w:family w:val="modern"/>
    <w:notTrueType/>
    <w:pitch w:val="variable"/>
    <w:sig w:usb0="A000022F" w:usb1="4000A07A" w:usb2="00000000" w:usb3="00000000" w:csb0="0000000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38C7D" w14:textId="419A2B22" w:rsidR="001E3298" w:rsidRDefault="001E3298" w:rsidP="001E3298">
    <w:pPr>
      <w:pStyle w:val="Footer"/>
      <w:jc w:val="center"/>
      <w:rPr>
        <w:rFonts w:ascii="PermianSansTypeface" w:hAnsi="PermianSansTypeface"/>
        <w:b/>
        <w:color w:val="000000"/>
        <w:sz w:val="16"/>
        <w:lang w:val="it-IT"/>
      </w:rPr>
    </w:pPr>
  </w:p>
  <w:p w14:paraId="7A81DF73" w14:textId="4F88098F" w:rsidR="00BE161B" w:rsidRPr="00106E65" w:rsidRDefault="00BE161B" w:rsidP="00BE161B">
    <w:pPr>
      <w:pStyle w:val="Footer"/>
      <w:jc w:val="center"/>
      <w:rPr>
        <w:rFonts w:ascii="PermianSansTypeface" w:hAnsi="PermianSansTypeface"/>
        <w:b/>
        <w:color w:val="000000"/>
        <w:sz w:val="16"/>
        <w:lang w:val="it-IT"/>
      </w:rPr>
    </w:pPr>
    <w:r w:rsidRPr="00106E65">
      <w:rPr>
        <w:rFonts w:ascii="PermianSansTypeface" w:hAnsi="PermianSansTypeface"/>
        <w:b/>
        <w:color w:val="000000"/>
        <w:sz w:val="16"/>
        <w:lang w:val="it-IT"/>
      </w:rPr>
      <w:t>Confidenţial – BNM</w:t>
    </w:r>
  </w:p>
  <w:p w14:paraId="636643A0" w14:textId="77777777" w:rsidR="00BE161B" w:rsidRPr="00106E65" w:rsidRDefault="00BE161B" w:rsidP="00BE161B">
    <w:pPr>
      <w:pStyle w:val="Footer"/>
      <w:jc w:val="center"/>
      <w:rPr>
        <w:rFonts w:ascii="PermianSansTypeface" w:hAnsi="PermianSansTypeface"/>
        <w:b/>
        <w:color w:val="000000"/>
        <w:sz w:val="16"/>
        <w:lang w:val="it-IT"/>
      </w:rPr>
    </w:pPr>
    <w:r w:rsidRPr="00106E65">
      <w:rPr>
        <w:rFonts w:ascii="PermianSansTypeface" w:hAnsi="PermianSansTypeface"/>
        <w:b/>
        <w:color w:val="000000"/>
        <w:sz w:val="16"/>
        <w:lang w:val="it-IT"/>
      </w:rPr>
      <w:t>Atenţie! Se interzice deţinerea, sustragerea, alterarea, multiplicarea, distrugerea sau folosirea acestui document fără a dispune de drept de acces autorizat!</w:t>
    </w:r>
  </w:p>
  <w:sdt>
    <w:sdtPr>
      <w:id w:val="-1561864237"/>
      <w:docPartObj>
        <w:docPartGallery w:val="Page Numbers (Bottom of Page)"/>
        <w:docPartUnique/>
      </w:docPartObj>
    </w:sdtPr>
    <w:sdtEndPr>
      <w:rPr>
        <w:noProof/>
      </w:rPr>
    </w:sdtEndPr>
    <w:sdtContent>
      <w:p w14:paraId="653D2CE9" w14:textId="6E023ADB" w:rsidR="00BE161B" w:rsidRDefault="00BE161B" w:rsidP="00BE161B">
        <w:pPr>
          <w:pStyle w:val="Footer"/>
          <w:jc w:val="right"/>
        </w:pPr>
        <w:r>
          <w:fldChar w:fldCharType="begin"/>
        </w:r>
        <w:r>
          <w:instrText xml:space="preserve"> PAGE   \* MERGEFORMAT </w:instrText>
        </w:r>
        <w:r>
          <w:fldChar w:fldCharType="separate"/>
        </w:r>
        <w:r w:rsidR="001E3298">
          <w:rPr>
            <w:noProof/>
          </w:rPr>
          <w:t>8</w:t>
        </w:r>
        <w:r>
          <w:rPr>
            <w:noProof/>
          </w:rPr>
          <w:fldChar w:fldCharType="end"/>
        </w:r>
      </w:p>
    </w:sdtContent>
  </w:sdt>
  <w:p w14:paraId="76F0D409" w14:textId="77777777" w:rsidR="00D86302" w:rsidRPr="008F279E" w:rsidRDefault="00D86302" w:rsidP="003F0494">
    <w:pPr>
      <w:pStyle w:val="Footer"/>
      <w:jc w:val="center"/>
      <w:rPr>
        <w:b/>
        <w:sz w:val="16"/>
        <w:lang w:val="ro-RO"/>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5C4E8" w14:textId="00BD2C2D" w:rsidR="001E3298" w:rsidRDefault="001E3298" w:rsidP="001E3298">
    <w:pPr>
      <w:pStyle w:val="Footer"/>
      <w:jc w:val="right"/>
      <w:rPr>
        <w:rFonts w:ascii="PermianSansTypeface" w:hAnsi="PermianSansTypeface"/>
        <w:b/>
        <w:color w:val="000000"/>
        <w:sz w:val="16"/>
        <w:lang w:val="it-IT"/>
      </w:rPr>
    </w:pPr>
  </w:p>
  <w:sdt>
    <w:sdtPr>
      <w:id w:val="-1049681564"/>
      <w:docPartObj>
        <w:docPartGallery w:val="Page Numbers (Bottom of Page)"/>
        <w:docPartUnique/>
      </w:docPartObj>
    </w:sdtPr>
    <w:sdtEndPr>
      <w:rPr>
        <w:noProof/>
      </w:rPr>
    </w:sdtEndPr>
    <w:sdtContent>
      <w:p w14:paraId="36155548" w14:textId="28BE3CFB" w:rsidR="00D86302" w:rsidRDefault="005D6E89">
        <w:pPr>
          <w:pStyle w:val="Footer"/>
          <w:jc w:val="right"/>
        </w:pPr>
        <w:r>
          <w:fldChar w:fldCharType="begin"/>
        </w:r>
        <w:r>
          <w:instrText xml:space="preserve"> PAGE   \* MERGEFORMAT </w:instrText>
        </w:r>
        <w:r>
          <w:fldChar w:fldCharType="separate"/>
        </w:r>
        <w:r w:rsidR="001E3298">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4B742" w14:textId="77777777" w:rsidR="001E3298" w:rsidRDefault="001E3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29075" w14:textId="77777777" w:rsidR="00777A69" w:rsidRDefault="00777A69" w:rsidP="00BE161B">
      <w:pPr>
        <w:spacing w:after="0" w:line="240" w:lineRule="auto"/>
      </w:pPr>
      <w:r>
        <w:separator/>
      </w:r>
    </w:p>
  </w:footnote>
  <w:footnote w:type="continuationSeparator" w:id="0">
    <w:p w14:paraId="59B46B7E" w14:textId="77777777" w:rsidR="00777A69" w:rsidRDefault="00777A69" w:rsidP="00BE16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D11E5" w14:textId="77777777" w:rsidR="00BE161B" w:rsidRDefault="00BE161B" w:rsidP="001E3298">
    <w:pPr>
      <w:pStyle w:val="Header"/>
    </w:pPr>
  </w:p>
  <w:p w14:paraId="55D468D0" w14:textId="77777777" w:rsidR="00D86302" w:rsidRPr="008F279E" w:rsidRDefault="00D86302" w:rsidP="003F0494">
    <w:pPr>
      <w:pStyle w:val="Header"/>
      <w:jc w:val="right"/>
      <w:rPr>
        <w:b/>
        <w:lang w:val="ro-RO"/>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7612D" w14:textId="77777777" w:rsidR="00D86302" w:rsidRDefault="00D86302" w:rsidP="001E32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A79B8" w14:textId="77777777" w:rsidR="001E3298" w:rsidRDefault="001E32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8D8"/>
    <w:rsid w:val="00003B56"/>
    <w:rsid w:val="00003CCA"/>
    <w:rsid w:val="00005B35"/>
    <w:rsid w:val="00026B26"/>
    <w:rsid w:val="00026C7E"/>
    <w:rsid w:val="000378EC"/>
    <w:rsid w:val="00042A42"/>
    <w:rsid w:val="00042C7F"/>
    <w:rsid w:val="000435CB"/>
    <w:rsid w:val="00046B6B"/>
    <w:rsid w:val="00047FE1"/>
    <w:rsid w:val="00052FA8"/>
    <w:rsid w:val="00061164"/>
    <w:rsid w:val="00061322"/>
    <w:rsid w:val="00066A7B"/>
    <w:rsid w:val="00070EDF"/>
    <w:rsid w:val="0007365A"/>
    <w:rsid w:val="00075420"/>
    <w:rsid w:val="000758CA"/>
    <w:rsid w:val="000848A5"/>
    <w:rsid w:val="00090918"/>
    <w:rsid w:val="0009351E"/>
    <w:rsid w:val="0009483C"/>
    <w:rsid w:val="00094BE2"/>
    <w:rsid w:val="00097B60"/>
    <w:rsid w:val="000A149A"/>
    <w:rsid w:val="000A4C9E"/>
    <w:rsid w:val="000A551C"/>
    <w:rsid w:val="000A72FD"/>
    <w:rsid w:val="000B55B0"/>
    <w:rsid w:val="000C1214"/>
    <w:rsid w:val="000D50AF"/>
    <w:rsid w:val="000E0E75"/>
    <w:rsid w:val="000E4143"/>
    <w:rsid w:val="000E5A84"/>
    <w:rsid w:val="000F1F16"/>
    <w:rsid w:val="000F35BB"/>
    <w:rsid w:val="001002DE"/>
    <w:rsid w:val="00103CCC"/>
    <w:rsid w:val="0010426C"/>
    <w:rsid w:val="00104893"/>
    <w:rsid w:val="0010624E"/>
    <w:rsid w:val="0010695A"/>
    <w:rsid w:val="00106E65"/>
    <w:rsid w:val="001118B9"/>
    <w:rsid w:val="00111BD8"/>
    <w:rsid w:val="001158C0"/>
    <w:rsid w:val="001249C9"/>
    <w:rsid w:val="00131579"/>
    <w:rsid w:val="00140A56"/>
    <w:rsid w:val="0014120F"/>
    <w:rsid w:val="0014183B"/>
    <w:rsid w:val="00145D61"/>
    <w:rsid w:val="00145DB4"/>
    <w:rsid w:val="00147A64"/>
    <w:rsid w:val="0015683E"/>
    <w:rsid w:val="00160FA1"/>
    <w:rsid w:val="00166346"/>
    <w:rsid w:val="00171EDC"/>
    <w:rsid w:val="0017509B"/>
    <w:rsid w:val="00175CC1"/>
    <w:rsid w:val="001760AB"/>
    <w:rsid w:val="0018091E"/>
    <w:rsid w:val="001826AE"/>
    <w:rsid w:val="00195056"/>
    <w:rsid w:val="00197B8C"/>
    <w:rsid w:val="001B2C9A"/>
    <w:rsid w:val="001C25CC"/>
    <w:rsid w:val="001C459F"/>
    <w:rsid w:val="001D2B80"/>
    <w:rsid w:val="001D3342"/>
    <w:rsid w:val="001D4427"/>
    <w:rsid w:val="001E1F01"/>
    <w:rsid w:val="001E3298"/>
    <w:rsid w:val="001F1B8E"/>
    <w:rsid w:val="001F6067"/>
    <w:rsid w:val="001F7E02"/>
    <w:rsid w:val="00200615"/>
    <w:rsid w:val="00213012"/>
    <w:rsid w:val="00227535"/>
    <w:rsid w:val="00233066"/>
    <w:rsid w:val="00234D59"/>
    <w:rsid w:val="002509B4"/>
    <w:rsid w:val="0025333B"/>
    <w:rsid w:val="0026172A"/>
    <w:rsid w:val="00276329"/>
    <w:rsid w:val="00276547"/>
    <w:rsid w:val="00276823"/>
    <w:rsid w:val="0029045E"/>
    <w:rsid w:val="0029485B"/>
    <w:rsid w:val="0029582E"/>
    <w:rsid w:val="00295AEF"/>
    <w:rsid w:val="002A235C"/>
    <w:rsid w:val="002A2E12"/>
    <w:rsid w:val="002B30B8"/>
    <w:rsid w:val="002B3F39"/>
    <w:rsid w:val="002B65DB"/>
    <w:rsid w:val="002D2D73"/>
    <w:rsid w:val="002E249A"/>
    <w:rsid w:val="002E46AF"/>
    <w:rsid w:val="0030142E"/>
    <w:rsid w:val="00301713"/>
    <w:rsid w:val="00301ECF"/>
    <w:rsid w:val="00301FAF"/>
    <w:rsid w:val="00311DCE"/>
    <w:rsid w:val="00322E1C"/>
    <w:rsid w:val="00326CEE"/>
    <w:rsid w:val="00334467"/>
    <w:rsid w:val="00342187"/>
    <w:rsid w:val="00347A6A"/>
    <w:rsid w:val="00357A91"/>
    <w:rsid w:val="00367687"/>
    <w:rsid w:val="003755F2"/>
    <w:rsid w:val="00376BDD"/>
    <w:rsid w:val="003776B8"/>
    <w:rsid w:val="00377A1D"/>
    <w:rsid w:val="00387A55"/>
    <w:rsid w:val="00390583"/>
    <w:rsid w:val="003C13FF"/>
    <w:rsid w:val="003C1885"/>
    <w:rsid w:val="003C2685"/>
    <w:rsid w:val="003C2D5C"/>
    <w:rsid w:val="003D103B"/>
    <w:rsid w:val="003D3A31"/>
    <w:rsid w:val="003D6EAC"/>
    <w:rsid w:val="003E2DBC"/>
    <w:rsid w:val="003F3795"/>
    <w:rsid w:val="003F6182"/>
    <w:rsid w:val="003F65D1"/>
    <w:rsid w:val="00406ABE"/>
    <w:rsid w:val="00406C36"/>
    <w:rsid w:val="00407886"/>
    <w:rsid w:val="004146B9"/>
    <w:rsid w:val="004153CC"/>
    <w:rsid w:val="00423EDC"/>
    <w:rsid w:val="00424CDC"/>
    <w:rsid w:val="00425E7E"/>
    <w:rsid w:val="0042704D"/>
    <w:rsid w:val="00427539"/>
    <w:rsid w:val="00445747"/>
    <w:rsid w:val="00445BFB"/>
    <w:rsid w:val="00460A93"/>
    <w:rsid w:val="00463406"/>
    <w:rsid w:val="00465B40"/>
    <w:rsid w:val="00471020"/>
    <w:rsid w:val="004728B8"/>
    <w:rsid w:val="00480340"/>
    <w:rsid w:val="004844F5"/>
    <w:rsid w:val="00486C8B"/>
    <w:rsid w:val="00490644"/>
    <w:rsid w:val="004A0993"/>
    <w:rsid w:val="004A58D2"/>
    <w:rsid w:val="004A7F8A"/>
    <w:rsid w:val="004B0038"/>
    <w:rsid w:val="004B0B58"/>
    <w:rsid w:val="004B1DE2"/>
    <w:rsid w:val="004B20A8"/>
    <w:rsid w:val="004B20FE"/>
    <w:rsid w:val="004B4413"/>
    <w:rsid w:val="004C4996"/>
    <w:rsid w:val="004C7B9B"/>
    <w:rsid w:val="004D630D"/>
    <w:rsid w:val="004E3108"/>
    <w:rsid w:val="004E4CD2"/>
    <w:rsid w:val="004F0947"/>
    <w:rsid w:val="004F64D0"/>
    <w:rsid w:val="004F6586"/>
    <w:rsid w:val="00511895"/>
    <w:rsid w:val="0052201B"/>
    <w:rsid w:val="005232FB"/>
    <w:rsid w:val="00524672"/>
    <w:rsid w:val="0053044E"/>
    <w:rsid w:val="00536A18"/>
    <w:rsid w:val="0054299D"/>
    <w:rsid w:val="00543F7C"/>
    <w:rsid w:val="00556724"/>
    <w:rsid w:val="00565AB8"/>
    <w:rsid w:val="00571690"/>
    <w:rsid w:val="00582D6B"/>
    <w:rsid w:val="00594303"/>
    <w:rsid w:val="00594BB2"/>
    <w:rsid w:val="005B1749"/>
    <w:rsid w:val="005C09F2"/>
    <w:rsid w:val="005C2661"/>
    <w:rsid w:val="005C3CE8"/>
    <w:rsid w:val="005C41EB"/>
    <w:rsid w:val="005C7C88"/>
    <w:rsid w:val="005D048D"/>
    <w:rsid w:val="005D2D21"/>
    <w:rsid w:val="005D40E6"/>
    <w:rsid w:val="005D4BF7"/>
    <w:rsid w:val="005D6E89"/>
    <w:rsid w:val="005E3624"/>
    <w:rsid w:val="005E6638"/>
    <w:rsid w:val="005E66B8"/>
    <w:rsid w:val="005F588A"/>
    <w:rsid w:val="006019A0"/>
    <w:rsid w:val="00601C4B"/>
    <w:rsid w:val="006026CE"/>
    <w:rsid w:val="006043C1"/>
    <w:rsid w:val="006047D3"/>
    <w:rsid w:val="00606CD0"/>
    <w:rsid w:val="00614B1E"/>
    <w:rsid w:val="00623A42"/>
    <w:rsid w:val="0063758C"/>
    <w:rsid w:val="006420E3"/>
    <w:rsid w:val="006465AD"/>
    <w:rsid w:val="00646FFF"/>
    <w:rsid w:val="0064727F"/>
    <w:rsid w:val="006607DA"/>
    <w:rsid w:val="00661A1F"/>
    <w:rsid w:val="00662584"/>
    <w:rsid w:val="006648E0"/>
    <w:rsid w:val="006655CA"/>
    <w:rsid w:val="00675C38"/>
    <w:rsid w:val="006760BB"/>
    <w:rsid w:val="00682E6A"/>
    <w:rsid w:val="006838F5"/>
    <w:rsid w:val="006915A3"/>
    <w:rsid w:val="006A18E0"/>
    <w:rsid w:val="006B317B"/>
    <w:rsid w:val="006C0176"/>
    <w:rsid w:val="006C1D7D"/>
    <w:rsid w:val="006C7572"/>
    <w:rsid w:val="006C771A"/>
    <w:rsid w:val="006D34CA"/>
    <w:rsid w:val="006D70EE"/>
    <w:rsid w:val="006D7C08"/>
    <w:rsid w:val="006E2D16"/>
    <w:rsid w:val="006E349F"/>
    <w:rsid w:val="006E38D9"/>
    <w:rsid w:val="006E4ACB"/>
    <w:rsid w:val="00701BBD"/>
    <w:rsid w:val="00705B39"/>
    <w:rsid w:val="00710018"/>
    <w:rsid w:val="00721E09"/>
    <w:rsid w:val="00723DE9"/>
    <w:rsid w:val="007251E4"/>
    <w:rsid w:val="00726B9E"/>
    <w:rsid w:val="00766CBD"/>
    <w:rsid w:val="00776CD5"/>
    <w:rsid w:val="00777A69"/>
    <w:rsid w:val="00780DEA"/>
    <w:rsid w:val="0078794B"/>
    <w:rsid w:val="007B51BF"/>
    <w:rsid w:val="007D12A9"/>
    <w:rsid w:val="007D273A"/>
    <w:rsid w:val="007D4D95"/>
    <w:rsid w:val="007D672B"/>
    <w:rsid w:val="007E5343"/>
    <w:rsid w:val="0082066A"/>
    <w:rsid w:val="00821A61"/>
    <w:rsid w:val="008325C5"/>
    <w:rsid w:val="008407A0"/>
    <w:rsid w:val="008451E9"/>
    <w:rsid w:val="00851AD9"/>
    <w:rsid w:val="00854E52"/>
    <w:rsid w:val="008648C8"/>
    <w:rsid w:val="0087238C"/>
    <w:rsid w:val="008768CC"/>
    <w:rsid w:val="008774C4"/>
    <w:rsid w:val="008779DA"/>
    <w:rsid w:val="00883498"/>
    <w:rsid w:val="00886011"/>
    <w:rsid w:val="008873B6"/>
    <w:rsid w:val="00891C59"/>
    <w:rsid w:val="008921BA"/>
    <w:rsid w:val="0089251A"/>
    <w:rsid w:val="00895067"/>
    <w:rsid w:val="008961CA"/>
    <w:rsid w:val="008A4591"/>
    <w:rsid w:val="008A7548"/>
    <w:rsid w:val="008B27AA"/>
    <w:rsid w:val="008B5026"/>
    <w:rsid w:val="008C3F23"/>
    <w:rsid w:val="008C76AC"/>
    <w:rsid w:val="008D280E"/>
    <w:rsid w:val="008D3E8E"/>
    <w:rsid w:val="008D6ECA"/>
    <w:rsid w:val="008F1364"/>
    <w:rsid w:val="008F210E"/>
    <w:rsid w:val="008F3D9C"/>
    <w:rsid w:val="009110AB"/>
    <w:rsid w:val="00911643"/>
    <w:rsid w:val="00914330"/>
    <w:rsid w:val="0091450D"/>
    <w:rsid w:val="00915B95"/>
    <w:rsid w:val="00915D95"/>
    <w:rsid w:val="009176C6"/>
    <w:rsid w:val="009250C9"/>
    <w:rsid w:val="009377E9"/>
    <w:rsid w:val="00953745"/>
    <w:rsid w:val="0096304F"/>
    <w:rsid w:val="00963D84"/>
    <w:rsid w:val="00966F9C"/>
    <w:rsid w:val="00973D46"/>
    <w:rsid w:val="00975DB0"/>
    <w:rsid w:val="00994F3F"/>
    <w:rsid w:val="009950B0"/>
    <w:rsid w:val="009A106B"/>
    <w:rsid w:val="009A336E"/>
    <w:rsid w:val="009A4E5D"/>
    <w:rsid w:val="009A4F0A"/>
    <w:rsid w:val="009A64FD"/>
    <w:rsid w:val="009B4A97"/>
    <w:rsid w:val="009C7BAD"/>
    <w:rsid w:val="009D2720"/>
    <w:rsid w:val="009E0EF5"/>
    <w:rsid w:val="009E27A3"/>
    <w:rsid w:val="009E5B76"/>
    <w:rsid w:val="009F12D3"/>
    <w:rsid w:val="009F5DE7"/>
    <w:rsid w:val="00A05C41"/>
    <w:rsid w:val="00A0622E"/>
    <w:rsid w:val="00A10A47"/>
    <w:rsid w:val="00A144B2"/>
    <w:rsid w:val="00A221AF"/>
    <w:rsid w:val="00A30649"/>
    <w:rsid w:val="00A35486"/>
    <w:rsid w:val="00A41F57"/>
    <w:rsid w:val="00A518D8"/>
    <w:rsid w:val="00A5427E"/>
    <w:rsid w:val="00A54D32"/>
    <w:rsid w:val="00A56CA3"/>
    <w:rsid w:val="00A5719A"/>
    <w:rsid w:val="00A748F8"/>
    <w:rsid w:val="00A81D11"/>
    <w:rsid w:val="00A86D84"/>
    <w:rsid w:val="00A91E60"/>
    <w:rsid w:val="00A928D2"/>
    <w:rsid w:val="00A969AB"/>
    <w:rsid w:val="00AB26F2"/>
    <w:rsid w:val="00AC6220"/>
    <w:rsid w:val="00AD66D5"/>
    <w:rsid w:val="00AE04E8"/>
    <w:rsid w:val="00AF264F"/>
    <w:rsid w:val="00AF706A"/>
    <w:rsid w:val="00B0687F"/>
    <w:rsid w:val="00B1171A"/>
    <w:rsid w:val="00B160C4"/>
    <w:rsid w:val="00B1723C"/>
    <w:rsid w:val="00B21BB4"/>
    <w:rsid w:val="00B259AB"/>
    <w:rsid w:val="00B310E8"/>
    <w:rsid w:val="00B3376C"/>
    <w:rsid w:val="00B51339"/>
    <w:rsid w:val="00B548A6"/>
    <w:rsid w:val="00B630D3"/>
    <w:rsid w:val="00B65CAE"/>
    <w:rsid w:val="00B67FBD"/>
    <w:rsid w:val="00B736D6"/>
    <w:rsid w:val="00B770CB"/>
    <w:rsid w:val="00B85FB0"/>
    <w:rsid w:val="00B872D9"/>
    <w:rsid w:val="00BA2C41"/>
    <w:rsid w:val="00BA64EC"/>
    <w:rsid w:val="00BA66D1"/>
    <w:rsid w:val="00BB570D"/>
    <w:rsid w:val="00BD0892"/>
    <w:rsid w:val="00BD4DE0"/>
    <w:rsid w:val="00BE0C52"/>
    <w:rsid w:val="00BE161B"/>
    <w:rsid w:val="00BF095A"/>
    <w:rsid w:val="00BF520B"/>
    <w:rsid w:val="00BF5A21"/>
    <w:rsid w:val="00C13A17"/>
    <w:rsid w:val="00C147DD"/>
    <w:rsid w:val="00C15757"/>
    <w:rsid w:val="00C16A76"/>
    <w:rsid w:val="00C22D4B"/>
    <w:rsid w:val="00C34D1A"/>
    <w:rsid w:val="00C41FD3"/>
    <w:rsid w:val="00C54263"/>
    <w:rsid w:val="00C63175"/>
    <w:rsid w:val="00C70DBA"/>
    <w:rsid w:val="00C74BF5"/>
    <w:rsid w:val="00C96788"/>
    <w:rsid w:val="00C96FDF"/>
    <w:rsid w:val="00CA3D63"/>
    <w:rsid w:val="00CA706B"/>
    <w:rsid w:val="00CC1D60"/>
    <w:rsid w:val="00CC21AC"/>
    <w:rsid w:val="00CC27C7"/>
    <w:rsid w:val="00CC5FB3"/>
    <w:rsid w:val="00CF56AE"/>
    <w:rsid w:val="00CF67DF"/>
    <w:rsid w:val="00CF78C2"/>
    <w:rsid w:val="00D003CB"/>
    <w:rsid w:val="00D02D49"/>
    <w:rsid w:val="00D03DE8"/>
    <w:rsid w:val="00D03EF4"/>
    <w:rsid w:val="00D123C1"/>
    <w:rsid w:val="00D15F90"/>
    <w:rsid w:val="00D164E3"/>
    <w:rsid w:val="00D26DA1"/>
    <w:rsid w:val="00D31035"/>
    <w:rsid w:val="00D374CE"/>
    <w:rsid w:val="00D43CD7"/>
    <w:rsid w:val="00D57423"/>
    <w:rsid w:val="00D60A30"/>
    <w:rsid w:val="00D65CDA"/>
    <w:rsid w:val="00D74AD9"/>
    <w:rsid w:val="00D75E20"/>
    <w:rsid w:val="00D86302"/>
    <w:rsid w:val="00DA09B3"/>
    <w:rsid w:val="00DA18E9"/>
    <w:rsid w:val="00DA4159"/>
    <w:rsid w:val="00DA61F6"/>
    <w:rsid w:val="00DB057E"/>
    <w:rsid w:val="00DB10ED"/>
    <w:rsid w:val="00DB1508"/>
    <w:rsid w:val="00DB1D9E"/>
    <w:rsid w:val="00DB3463"/>
    <w:rsid w:val="00DB7AE2"/>
    <w:rsid w:val="00DE4C9C"/>
    <w:rsid w:val="00E00832"/>
    <w:rsid w:val="00E041AC"/>
    <w:rsid w:val="00E05E7D"/>
    <w:rsid w:val="00E06890"/>
    <w:rsid w:val="00E11D31"/>
    <w:rsid w:val="00E223F9"/>
    <w:rsid w:val="00E23498"/>
    <w:rsid w:val="00E23D58"/>
    <w:rsid w:val="00E273FC"/>
    <w:rsid w:val="00E3028D"/>
    <w:rsid w:val="00E309F5"/>
    <w:rsid w:val="00E319CF"/>
    <w:rsid w:val="00E34D38"/>
    <w:rsid w:val="00E43A80"/>
    <w:rsid w:val="00E446A7"/>
    <w:rsid w:val="00E47068"/>
    <w:rsid w:val="00E601EB"/>
    <w:rsid w:val="00E65FC9"/>
    <w:rsid w:val="00E664C2"/>
    <w:rsid w:val="00E67EA0"/>
    <w:rsid w:val="00E71F13"/>
    <w:rsid w:val="00E75DE3"/>
    <w:rsid w:val="00E76E22"/>
    <w:rsid w:val="00E77481"/>
    <w:rsid w:val="00E8293B"/>
    <w:rsid w:val="00E83E43"/>
    <w:rsid w:val="00E9188D"/>
    <w:rsid w:val="00E91C1E"/>
    <w:rsid w:val="00E9392F"/>
    <w:rsid w:val="00EA4F6F"/>
    <w:rsid w:val="00EA7C86"/>
    <w:rsid w:val="00EA7ED9"/>
    <w:rsid w:val="00EC47F1"/>
    <w:rsid w:val="00ED7736"/>
    <w:rsid w:val="00EE3802"/>
    <w:rsid w:val="00EE49D2"/>
    <w:rsid w:val="00EE5225"/>
    <w:rsid w:val="00EE5ACD"/>
    <w:rsid w:val="00EE7658"/>
    <w:rsid w:val="00EF060B"/>
    <w:rsid w:val="00EF43C6"/>
    <w:rsid w:val="00EF49A4"/>
    <w:rsid w:val="00EF52D4"/>
    <w:rsid w:val="00EF7BC7"/>
    <w:rsid w:val="00EF7EFA"/>
    <w:rsid w:val="00F04462"/>
    <w:rsid w:val="00F05BF5"/>
    <w:rsid w:val="00F07137"/>
    <w:rsid w:val="00F14509"/>
    <w:rsid w:val="00F15350"/>
    <w:rsid w:val="00F16C17"/>
    <w:rsid w:val="00F31906"/>
    <w:rsid w:val="00F37193"/>
    <w:rsid w:val="00F372A6"/>
    <w:rsid w:val="00F452B4"/>
    <w:rsid w:val="00F670C7"/>
    <w:rsid w:val="00F72236"/>
    <w:rsid w:val="00F83A9D"/>
    <w:rsid w:val="00F873B9"/>
    <w:rsid w:val="00F93DC3"/>
    <w:rsid w:val="00FA4F4C"/>
    <w:rsid w:val="00FA571E"/>
    <w:rsid w:val="00FB272B"/>
    <w:rsid w:val="00FB3D1C"/>
    <w:rsid w:val="00FB6F9A"/>
    <w:rsid w:val="00FD056F"/>
    <w:rsid w:val="00FD6ED9"/>
    <w:rsid w:val="00FE4430"/>
    <w:rsid w:val="00FF217F"/>
    <w:rsid w:val="00FF2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80A68"/>
  <w15:chartTrackingRefBased/>
  <w15:docId w15:val="{D53B8F54-8EB4-4261-8B33-8CF400039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2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8D8"/>
    <w:pPr>
      <w:tabs>
        <w:tab w:val="center" w:pos="4844"/>
        <w:tab w:val="right" w:pos="9689"/>
      </w:tabs>
      <w:spacing w:after="0" w:line="240" w:lineRule="auto"/>
    </w:pPr>
  </w:style>
  <w:style w:type="character" w:customStyle="1" w:styleId="HeaderChar">
    <w:name w:val="Header Char"/>
    <w:basedOn w:val="DefaultParagraphFont"/>
    <w:link w:val="Header"/>
    <w:uiPriority w:val="99"/>
    <w:rsid w:val="00A518D8"/>
  </w:style>
  <w:style w:type="paragraph" w:styleId="Footer">
    <w:name w:val="footer"/>
    <w:basedOn w:val="Normal"/>
    <w:link w:val="FooterChar"/>
    <w:uiPriority w:val="99"/>
    <w:unhideWhenUsed/>
    <w:rsid w:val="00A518D8"/>
    <w:pPr>
      <w:tabs>
        <w:tab w:val="center" w:pos="4844"/>
        <w:tab w:val="right" w:pos="9689"/>
      </w:tabs>
      <w:spacing w:after="0" w:line="240" w:lineRule="auto"/>
    </w:pPr>
  </w:style>
  <w:style w:type="character" w:customStyle="1" w:styleId="FooterChar">
    <w:name w:val="Footer Char"/>
    <w:basedOn w:val="DefaultParagraphFont"/>
    <w:link w:val="Footer"/>
    <w:uiPriority w:val="99"/>
    <w:rsid w:val="00A518D8"/>
  </w:style>
  <w:style w:type="paragraph" w:styleId="BalloonText">
    <w:name w:val="Balloon Text"/>
    <w:basedOn w:val="Normal"/>
    <w:link w:val="BalloonTextChar"/>
    <w:uiPriority w:val="99"/>
    <w:semiHidden/>
    <w:unhideWhenUsed/>
    <w:rsid w:val="00097B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B60"/>
    <w:rPr>
      <w:rFonts w:ascii="Segoe UI" w:hAnsi="Segoe UI" w:cs="Segoe UI"/>
      <w:sz w:val="18"/>
      <w:szCs w:val="18"/>
    </w:rPr>
  </w:style>
  <w:style w:type="paragraph" w:styleId="ListParagraph">
    <w:name w:val="List Paragraph"/>
    <w:basedOn w:val="Normal"/>
    <w:uiPriority w:val="34"/>
    <w:qFormat/>
    <w:rsid w:val="00CC5FB3"/>
    <w:pPr>
      <w:ind w:left="720"/>
      <w:contextualSpacing/>
    </w:pPr>
  </w:style>
  <w:style w:type="paragraph" w:styleId="Revision">
    <w:name w:val="Revision"/>
    <w:hidden/>
    <w:uiPriority w:val="99"/>
    <w:semiHidden/>
    <w:rsid w:val="00FD056F"/>
    <w:pPr>
      <w:spacing w:after="0" w:line="240" w:lineRule="auto"/>
    </w:pPr>
  </w:style>
  <w:style w:type="character" w:styleId="CommentReference">
    <w:name w:val="annotation reference"/>
    <w:basedOn w:val="DefaultParagraphFont"/>
    <w:uiPriority w:val="99"/>
    <w:semiHidden/>
    <w:unhideWhenUsed/>
    <w:rsid w:val="00F04462"/>
    <w:rPr>
      <w:sz w:val="16"/>
      <w:szCs w:val="16"/>
    </w:rPr>
  </w:style>
  <w:style w:type="paragraph" w:styleId="CommentText">
    <w:name w:val="annotation text"/>
    <w:basedOn w:val="Normal"/>
    <w:link w:val="CommentTextChar"/>
    <w:uiPriority w:val="99"/>
    <w:unhideWhenUsed/>
    <w:rsid w:val="00F04462"/>
    <w:pPr>
      <w:spacing w:line="240" w:lineRule="auto"/>
    </w:pPr>
    <w:rPr>
      <w:sz w:val="20"/>
      <w:szCs w:val="20"/>
    </w:rPr>
  </w:style>
  <w:style w:type="character" w:customStyle="1" w:styleId="CommentTextChar">
    <w:name w:val="Comment Text Char"/>
    <w:basedOn w:val="DefaultParagraphFont"/>
    <w:link w:val="CommentText"/>
    <w:uiPriority w:val="99"/>
    <w:rsid w:val="00F04462"/>
    <w:rPr>
      <w:sz w:val="20"/>
      <w:szCs w:val="20"/>
    </w:rPr>
  </w:style>
  <w:style w:type="paragraph" w:styleId="CommentSubject">
    <w:name w:val="annotation subject"/>
    <w:basedOn w:val="CommentText"/>
    <w:next w:val="CommentText"/>
    <w:link w:val="CommentSubjectChar"/>
    <w:uiPriority w:val="99"/>
    <w:semiHidden/>
    <w:unhideWhenUsed/>
    <w:rsid w:val="00F04462"/>
    <w:rPr>
      <w:b/>
      <w:bCs/>
    </w:rPr>
  </w:style>
  <w:style w:type="character" w:customStyle="1" w:styleId="CommentSubjectChar">
    <w:name w:val="Comment Subject Char"/>
    <w:basedOn w:val="CommentTextChar"/>
    <w:link w:val="CommentSubject"/>
    <w:uiPriority w:val="99"/>
    <w:semiHidden/>
    <w:rsid w:val="00F044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25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6ABD5BE4AF404FB3448CEE8EDDA4EB" ma:contentTypeVersion="2" ma:contentTypeDescription="Create a new document." ma:contentTypeScope="" ma:versionID="a2a9a0844684c9997eb93f1e88399be3">
  <xsd:schema xmlns:xsd="http://www.w3.org/2001/XMLSchema" xmlns:xs="http://www.w3.org/2001/XMLSchema" xmlns:p="http://schemas.microsoft.com/office/2006/metadata/properties" xmlns:ns2="4d425161-ed14-45c5-b112-e246c1a9aba7" targetNamespace="http://schemas.microsoft.com/office/2006/metadata/properties" ma:root="true" ma:fieldsID="bd4dca12a26cd11154a245b012b3d292" ns2:_="">
    <xsd:import namespace="4d425161-ed14-45c5-b112-e246c1a9aba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25161-ed14-45c5-b112-e246c1a9ab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00149-216F-40DF-A7C4-655101971A5F}">
  <ds:schemaRefs>
    <ds:schemaRef ds:uri="http://schemas.microsoft.com/sharepoint/v3/contenttype/forms"/>
  </ds:schemaRefs>
</ds:datastoreItem>
</file>

<file path=customXml/itemProps2.xml><?xml version="1.0" encoding="utf-8"?>
<ds:datastoreItem xmlns:ds="http://schemas.openxmlformats.org/officeDocument/2006/customXml" ds:itemID="{70F1E5F0-9630-487A-8932-A12764FF52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DC1B8F-8646-4566-876F-6B5C5D6F5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25161-ed14-45c5-b112-e246c1a9a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59E849-C81B-4795-99D7-2E087EF83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3037</Words>
  <Characters>17316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2023-11-05T16:17:00Z</cp:lastPrinted>
  <dcterms:created xsi:type="dcterms:W3CDTF">2023-11-05T16:18:00Z</dcterms:created>
  <dcterms:modified xsi:type="dcterms:W3CDTF">2023-11-05T16:18:00Z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1d9581b3-367e-4d84-83da-ca465a6ea9d8</vt:lpwstr>
  </property>
  <property fmtid="{D5CDD505-2E9C-101B-9397-08002B2CF9AE}" pid="3" name="ContentTypeId">
    <vt:lpwstr>0x010100A56ABD5BE4AF404FB3448CEE8EDDA4EB</vt:lpwstr>
  </property>
  <property fmtid="{D5CDD505-2E9C-101B-9397-08002B2CF9AE}" pid="4" name="Clasificare">
    <vt:lpwstr>NONE</vt:lpwstr>
  </property>
</Properties>
</file>